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4BC3" w14:textId="77777777" w:rsidR="00F03106" w:rsidRPr="00F03106" w:rsidRDefault="00F03106" w:rsidP="00F03106">
      <w:pPr>
        <w:pStyle w:val="OZNPROJEKTUwskazaniedatylubwersjiprojektu"/>
      </w:pPr>
      <w:r w:rsidRPr="00F03106">
        <w:t>projekt</w:t>
      </w:r>
    </w:p>
    <w:p w14:paraId="7CC06887" w14:textId="77777777" w:rsidR="00F03106" w:rsidRPr="00F03106" w:rsidRDefault="00F03106" w:rsidP="00F03106">
      <w:pPr>
        <w:pStyle w:val="OZNRODZAKTUtznustawalubrozporzdzenieiorganwydajcy"/>
      </w:pPr>
      <w:r w:rsidRPr="00F03106">
        <w:t xml:space="preserve">UCHWAŁA Nr </w:t>
      </w:r>
    </w:p>
    <w:p w14:paraId="7C770A6F" w14:textId="77777777" w:rsidR="00F03106" w:rsidRPr="00F03106" w:rsidRDefault="00F03106" w:rsidP="00F03106">
      <w:pPr>
        <w:pStyle w:val="OZNRODZAKTUtznustawalubrozporzdzenieiorganwydajcy"/>
      </w:pPr>
      <w:r w:rsidRPr="00F03106">
        <w:t>RADY MIEJSKIEJ W STALOWEJ WOLI</w:t>
      </w:r>
    </w:p>
    <w:p w14:paraId="7DD84D37" w14:textId="246E3602" w:rsidR="00F03106" w:rsidRPr="00F03106" w:rsidRDefault="00F03106" w:rsidP="00F03106">
      <w:pPr>
        <w:pStyle w:val="DATAAKTUdatauchwalenialubwydaniaaktu"/>
      </w:pPr>
      <w:r w:rsidRPr="00F03106">
        <w:t xml:space="preserve">z dnia </w:t>
      </w:r>
      <w:r>
        <w:t>15 lutego 2021</w:t>
      </w:r>
      <w:r w:rsidRPr="00F03106">
        <w:t xml:space="preserve"> r.</w:t>
      </w:r>
    </w:p>
    <w:p w14:paraId="0ADDE123" w14:textId="6956EFA6" w:rsidR="00F03106" w:rsidRPr="00F03106" w:rsidRDefault="00F03106" w:rsidP="00F03106">
      <w:pPr>
        <w:pStyle w:val="TYTUAKTUprzedmiotregulacjiustawylubrozporzdzenia"/>
      </w:pPr>
      <w:r w:rsidRPr="00F03106">
        <w:t>w sprawie wyrażenia zgody na wystąpienie Gminy Stalowa Wola ze spółki Przedsiębiorstwo Energetyki Cieplnej Spółka z ograniczoną odpowiedzialnością oraz na</w:t>
      </w:r>
      <w:r>
        <w:t> </w:t>
      </w:r>
      <w:r w:rsidRPr="00F03106">
        <w:t>wniesienie wszystkich udziałów posiadanych przez Gminę Stalowa Wola w tej spółce na</w:t>
      </w:r>
      <w:r>
        <w:t> </w:t>
      </w:r>
      <w:r w:rsidRPr="00F03106">
        <w:t>rzecz Miejskiego Zakładu Komunalnego Spółka z ograniczoną odpowiedzialnością.</w:t>
      </w:r>
    </w:p>
    <w:p w14:paraId="7C03D3F1" w14:textId="1EFEA96A" w:rsidR="00777AD7" w:rsidRPr="00777AD7" w:rsidRDefault="00777AD7" w:rsidP="00777AD7">
      <w:pPr>
        <w:pStyle w:val="ARTartustawynprozporzdzenia"/>
      </w:pPr>
      <w:r w:rsidRPr="00777AD7">
        <w:t xml:space="preserve">Na podstawie art. </w:t>
      </w:r>
      <w:r w:rsidRPr="00B46A93">
        <w:t>18</w:t>
      </w:r>
      <w:r w:rsidRPr="00777AD7">
        <w:t xml:space="preserve"> ust. 2 pkt 9 lit. f) oraz g) ustawy z dnia 8 marca 1990 r. </w:t>
      </w:r>
      <w:r w:rsidRPr="00644BBA">
        <w:t>o samorządzie gminnym</w:t>
      </w:r>
      <w:r w:rsidRPr="00777AD7">
        <w:t xml:space="preserve"> (t.j. Dz. U. z 2020 r.; poz. 713), § 4, § 5 ust. 1 pkt 2, § 6 ust. 2, § 7 ust. 3 oraz § 8 ust. 3 uchwały Nr XIII/167/15 Rady Miejskiej w Stalowej Woli z dnia 6 sierpnia 2015 roku </w:t>
      </w:r>
      <w:r w:rsidRPr="00644BBA">
        <w:t>w sprawie określenia zasad wnoszenia, cofania i zbywania przez Gminę Stalowa Wola udziałów i akcji spółek prawa handlowego</w:t>
      </w:r>
      <w:r w:rsidRPr="00777AD7">
        <w:t xml:space="preserve"> (Dz. U. Woj. </w:t>
      </w:r>
      <w:proofErr w:type="spellStart"/>
      <w:r w:rsidRPr="00777AD7">
        <w:t>Podk</w:t>
      </w:r>
      <w:proofErr w:type="spellEnd"/>
      <w:r w:rsidRPr="00777AD7">
        <w:t>. Z 2015 r. poz. 2446) w związku z</w:t>
      </w:r>
      <w:r>
        <w:t> </w:t>
      </w:r>
      <w:r w:rsidRPr="00777AD7">
        <w:t>art.</w:t>
      </w:r>
      <w:r>
        <w:t> </w:t>
      </w:r>
      <w:r w:rsidRPr="00777AD7">
        <w:t xml:space="preserve">12 ust.1 ustawy z dnia 20 grudnia 1996 r. </w:t>
      </w:r>
      <w:r w:rsidRPr="00644BBA">
        <w:t>o gospodarce komunalnej</w:t>
      </w:r>
      <w:r w:rsidRPr="00777AD7">
        <w:t xml:space="preserve"> (t.j. Dz. U. z 2019 r. poz. 712 z późn. zm.) Rada Miejska w Stalowej Woli uchwala, co następuje:</w:t>
      </w:r>
    </w:p>
    <w:p w14:paraId="76167EC5" w14:textId="70804FD1" w:rsidR="00F03106" w:rsidRPr="00F03106" w:rsidRDefault="00F03106" w:rsidP="00F03106">
      <w:pPr>
        <w:pStyle w:val="ARTartustawynprozporzdzenia"/>
      </w:pPr>
      <w:r w:rsidRPr="00F03106">
        <w:rPr>
          <w:rStyle w:val="Ppogrubienie"/>
        </w:rPr>
        <w:t>§ 1.</w:t>
      </w:r>
      <w:r>
        <w:t> </w:t>
      </w:r>
      <w:r w:rsidRPr="00F03106">
        <w:t>1.</w:t>
      </w:r>
      <w:r>
        <w:t xml:space="preserve"> </w:t>
      </w:r>
      <w:r w:rsidRPr="00F03106">
        <w:t>Rada Miejska w Stalowej Woli postanawia o wystąpieniu Gminy Stalowa Wola ze</w:t>
      </w:r>
      <w:r>
        <w:t> </w:t>
      </w:r>
      <w:r w:rsidRPr="00F03106">
        <w:t>spółki Przedsiębiorstwo Energetyki Cieplnej Spółka z ograniczoną odpowiedzialnością.</w:t>
      </w:r>
    </w:p>
    <w:p w14:paraId="580A3657" w14:textId="784A9BEA" w:rsidR="00F03106" w:rsidRPr="00F03106" w:rsidRDefault="00F03106" w:rsidP="00F03106">
      <w:pPr>
        <w:pStyle w:val="USTustnpkodeksu"/>
      </w:pPr>
      <w:r w:rsidRPr="00F03106">
        <w:t>2.</w:t>
      </w:r>
      <w:r>
        <w:t> </w:t>
      </w:r>
      <w:r w:rsidRPr="00F03106">
        <w:t>Rada Miejska w Stalowej Woli wyraża zgodę na wniesienie wszystkich posiadanych przez Gminę Stalowa Wola udziałów w spółce, o której mowa w ust. 1 do jednoosobowej spółki Gminy Stalowa Wola - Miejski Zakład Komunalny Spółka z ograniczoną odpowiedzialnością w</w:t>
      </w:r>
      <w:r w:rsidR="002D4673">
        <w:t> </w:t>
      </w:r>
      <w:r w:rsidRPr="00F03106">
        <w:t>zamian za objęcie udziałów w podwyższonym kapitale zakładowym tej</w:t>
      </w:r>
      <w:r>
        <w:t> </w:t>
      </w:r>
      <w:r w:rsidRPr="00F03106">
        <w:t>spółki.</w:t>
      </w:r>
    </w:p>
    <w:p w14:paraId="07F66E5A" w14:textId="23D5281D" w:rsidR="00F03106" w:rsidRPr="00F03106" w:rsidRDefault="00F03106" w:rsidP="00F03106">
      <w:pPr>
        <w:pStyle w:val="ARTartustawynprozporzdzenia"/>
      </w:pPr>
      <w:r w:rsidRPr="00F03106">
        <w:rPr>
          <w:rStyle w:val="Ppogrubienie"/>
        </w:rPr>
        <w:t>§ 2.</w:t>
      </w:r>
      <w:r>
        <w:t> </w:t>
      </w:r>
      <w:r w:rsidRPr="00F03106">
        <w:t>Wartość udziałów wnoszonych przez Gminę Stalowa Wola do spółki Miejski Zakład Komunalny Spółka z ograniczoną odpowiedzialnością będzie ustalona w oparciu o wycenę wartości udziałów sporządzoną przez biegłego rzeczoznawcę posiadającego wymagane uprawnienia do wyceny zbywanych udziałów.</w:t>
      </w:r>
    </w:p>
    <w:p w14:paraId="42F51537" w14:textId="14FE9F1C" w:rsidR="00F03106" w:rsidRPr="00F03106" w:rsidRDefault="00F03106" w:rsidP="00F03106">
      <w:pPr>
        <w:pStyle w:val="ARTartustawynprozporzdzenia"/>
      </w:pPr>
      <w:r w:rsidRPr="00F03106">
        <w:rPr>
          <w:rStyle w:val="Ppogrubienie"/>
        </w:rPr>
        <w:t>§ 3.</w:t>
      </w:r>
      <w:r>
        <w:t> </w:t>
      </w:r>
      <w:r w:rsidRPr="00F03106">
        <w:t>Wykonanie uchwały powierza się Prezydentowi Miasta Stalowej Woli</w:t>
      </w:r>
      <w:r w:rsidR="002E099E">
        <w:t>.</w:t>
      </w:r>
    </w:p>
    <w:p w14:paraId="4327C1B3" w14:textId="3405C60A" w:rsidR="00F03106" w:rsidRPr="00F03106" w:rsidRDefault="00F03106" w:rsidP="00F03106">
      <w:pPr>
        <w:pStyle w:val="ARTartustawynprozporzdzenia"/>
      </w:pPr>
      <w:r w:rsidRPr="00F03106">
        <w:rPr>
          <w:rStyle w:val="Ppogrubienie"/>
        </w:rPr>
        <w:t>§ 4.</w:t>
      </w:r>
      <w:r>
        <w:t> </w:t>
      </w:r>
      <w:r w:rsidRPr="00F03106">
        <w:t>1.</w:t>
      </w:r>
      <w:r>
        <w:t xml:space="preserve"> </w:t>
      </w:r>
      <w:r w:rsidRPr="00F03106">
        <w:t>Uchwała wchodzi w życie z dniem podjęcia.</w:t>
      </w:r>
    </w:p>
    <w:p w14:paraId="673EBA5B" w14:textId="0E7F93B4" w:rsidR="00F03106" w:rsidRPr="00F03106" w:rsidRDefault="00F03106" w:rsidP="00F03106">
      <w:pPr>
        <w:pStyle w:val="USTustnpkodeksu"/>
      </w:pPr>
      <w:r w:rsidRPr="00F03106">
        <w:t>2.</w:t>
      </w:r>
      <w:r>
        <w:t> </w:t>
      </w:r>
      <w:r w:rsidRPr="00F03106">
        <w:t>Uchwała zostaje ogłoszona na tablicy ogłoszeń Urzędu Miasta w Stalowej Woli oraz w</w:t>
      </w:r>
      <w:r>
        <w:t> </w:t>
      </w:r>
      <w:r w:rsidRPr="00F03106">
        <w:t>Biuletynie Informacji Publicznej Urzędu Miasta w Stalowej Woli.</w:t>
      </w:r>
    </w:p>
    <w:p w14:paraId="31F32413" w14:textId="77777777" w:rsidR="00F03106" w:rsidRDefault="00F03106">
      <w:pPr>
        <w:widowControl/>
        <w:autoSpaceDE/>
        <w:autoSpaceDN/>
        <w:adjustRightInd/>
      </w:pPr>
      <w:r>
        <w:br w:type="page"/>
      </w:r>
    </w:p>
    <w:p w14:paraId="08DC52D1" w14:textId="24B43F75" w:rsidR="00F03106" w:rsidRPr="00F03106" w:rsidRDefault="00F03106" w:rsidP="00F03106">
      <w:pPr>
        <w:pStyle w:val="TYTDZPRZEDMprzedmiotregulacjitytuulubdziau"/>
      </w:pPr>
      <w:r w:rsidRPr="00F03106">
        <w:lastRenderedPageBreak/>
        <w:t>UZASADNIENIE</w:t>
      </w:r>
    </w:p>
    <w:p w14:paraId="55F9DBF0" w14:textId="77777777" w:rsidR="00EF3FC0" w:rsidRPr="00FF4E83" w:rsidRDefault="00EF3FC0" w:rsidP="00FF4E83">
      <w:pPr>
        <w:pStyle w:val="NIEARTTEKSTtekstnieartykuowanynppodstprawnarozplubpreambua"/>
      </w:pPr>
      <w:r w:rsidRPr="00FF4E83">
        <w:t>Zgodnie z art. 18 ust. 2 pkt. 9 lit. f) oraz h) ustawy z dnia 8 marca 1990 roku o samorządzie gminnym do wyłącznej właściwości Rady Miejskiej należy podejmowanie uchwał w sprawach majątkowych Gminy Stalowa Wola, przekraczających zakres zwykłego zarządu, a dotyczących tworzenia i przystępowania do spółek i spółdzielni oraz rozwiązywania i występowania z nich jak również tworzenia, likwidacji i reorganizacji przedsiębiorstw, zakładów i innych gminnych jednostek organizacyjnych oraz wyposażania ich w majątek.</w:t>
      </w:r>
    </w:p>
    <w:p w14:paraId="6D776665" w14:textId="090B65E6" w:rsidR="00EF3FC0" w:rsidRPr="00FF4E83" w:rsidRDefault="00EF3FC0" w:rsidP="00F54F1C">
      <w:pPr>
        <w:pStyle w:val="NIEARTTEKSTtekstnieartykuowanynppodstprawnarozplubpreambua"/>
      </w:pPr>
      <w:r w:rsidRPr="00FF4E83">
        <w:t>Zgodnie z art. 491 ustawy z dnia 15 września 2000 roku kodeks spółek handlowych, spółki kapitałowe mogą się łączyć zaś dalsze przepisy przedmiotowej ustawy określają proces łączenia.</w:t>
      </w:r>
    </w:p>
    <w:p w14:paraId="500E4627" w14:textId="77777777" w:rsidR="00EF3FC0" w:rsidRPr="00FF4E83" w:rsidRDefault="00EF3FC0" w:rsidP="00F54F1C">
      <w:pPr>
        <w:pStyle w:val="NIEARTTEKSTtekstnieartykuowanynppodstprawnarozplubpreambua"/>
      </w:pPr>
      <w:r w:rsidRPr="00FF4E83">
        <w:t xml:space="preserve">Celem zmiany struktury właścicielskiej w Przedsiębiorstwie Energetyki Cieplnej Sp. z o.o. jest zainicjowanie procesu połączenia się spółek należących do Gminy. </w:t>
      </w:r>
    </w:p>
    <w:p w14:paraId="4EA614D8" w14:textId="462DFDA7" w:rsidR="00EF3FC0" w:rsidRPr="00FF4E83" w:rsidRDefault="00EF3FC0" w:rsidP="00F54F1C">
      <w:pPr>
        <w:pStyle w:val="NIEARTTEKSTtekstnieartykuowanynppodstprawnarozplubpreambua"/>
      </w:pPr>
      <w:r w:rsidRPr="00FF4E83">
        <w:t>Przeprowadzenie połączenia spółek będących własnością Gminy Stalowa Wola, a</w:t>
      </w:r>
      <w:r w:rsidR="00DF4C18">
        <w:t> </w:t>
      </w:r>
      <w:r w:rsidRPr="00FF4E83">
        <w:t>mianowicie Miejskiego Zakładu Komunalnego Sp. z o.o. (dalej jako MZK) oraz Przedsiębiorstwa Energetyki Cieplnej Sp. z o.o. (dalej jako PEC) pozwoli na kontynuowanie procesu konsolidowania i lepszej współpracy spółek miejskich w Stalowej Woli. Celem tych działań jest zbudowanie modelowej gospodarki obiegu zamkniętego w Stalowej Woli. Wdrożenie modelu gospodarki obiegu zamkniętego przyniesie wiele korzyści w obszarze ekonomicznym, społecznym i środowiskowym dla Gminy Stalowa Wola i jej mieszkańców. Docelowo model ten ma doprowadzić do uniezależnienia rozwoju gospodarczego Gminy od</w:t>
      </w:r>
      <w:r w:rsidR="00DF4C18">
        <w:t> </w:t>
      </w:r>
      <w:r w:rsidRPr="00FF4E83">
        <w:t>konsumpcji ograniczonych zasobów, dzięki czemu zminimalizowany zostanie negatywny wpływ na środowisko, rozwiną się działania innowacyjne oraz pobudzony zostanie rozwój nowych technologii, co pozwoli na stworzenie nowych miejsc pracy, a także zwiększy wydajność systemu, co stanie się wyzwaniem i ogromną szansą dla biznesu, nie tylko lokalnego.</w:t>
      </w:r>
    </w:p>
    <w:p w14:paraId="547A71AB" w14:textId="77777777" w:rsidR="00EF3FC0" w:rsidRPr="00FF4E83" w:rsidRDefault="00EF3FC0" w:rsidP="00811B09">
      <w:pPr>
        <w:pStyle w:val="NIEARTTEKSTtekstnieartykuowanynppodstprawnarozplubpreambua"/>
      </w:pPr>
      <w:r w:rsidRPr="00FF4E83">
        <w:t xml:space="preserve">Ponadto połączenie MZK z PEC pozwoli na osiągnięcie efektu synergii i tym samym pełniejsze wykorzystanie potencjału osobowego i ekonomicznego obu spółek przy realizacji planowanej inwestycji jaką ma być budowa instalacji termicznego przetwarzania odpadów </w:t>
      </w:r>
      <w:proofErr w:type="spellStart"/>
      <w:r w:rsidRPr="00FF4E83">
        <w:t>preRDF</w:t>
      </w:r>
      <w:proofErr w:type="spellEnd"/>
      <w:r w:rsidRPr="00FF4E83">
        <w:t>. Realizacja tej inwestycji ma być domknięciem procesu przetwarzania odpadów, które pozwoli Gminie Stalowa Wola na uniezależnienie się w przyszłości, od czynników zewnętrznych, które odpowiadają za obecny wzrost cen gospodarki odpadami na terenie Gminy i całej Polski.</w:t>
      </w:r>
    </w:p>
    <w:p w14:paraId="786786BB" w14:textId="2B8B36DB" w:rsidR="00EF3FC0" w:rsidRPr="00FF4E83" w:rsidRDefault="00EF3FC0" w:rsidP="00811B09">
      <w:pPr>
        <w:pStyle w:val="NIEARTTEKSTtekstnieartykuowanynppodstprawnarozplubpreambua"/>
      </w:pPr>
      <w:r w:rsidRPr="00FF4E83">
        <w:t>Decyzja w kwestii optymalnej konfiguracji danego połączenia jest podejmowana w</w:t>
      </w:r>
      <w:r w:rsidR="00DF4C18">
        <w:t> </w:t>
      </w:r>
      <w:r w:rsidRPr="00FF4E83">
        <w:t>początkowej fazie procesu połączeniowego. Wówczas wybiera się najkorzystniejszą pod</w:t>
      </w:r>
      <w:r w:rsidR="00DF4C18">
        <w:t> </w:t>
      </w:r>
      <w:r w:rsidRPr="00FF4E83">
        <w:t xml:space="preserve">względem ekonomicznym, prawnym i podatkowym formułę i konfigurację przeprowadzenia </w:t>
      </w:r>
      <w:r w:rsidRPr="00FF4E83">
        <w:lastRenderedPageBreak/>
        <w:t>połączenia, dopasowaną do konkretnego przypadku (z uwzględnieniem stanów bilansowych i</w:t>
      </w:r>
      <w:r w:rsidR="00DF4C18">
        <w:t> </w:t>
      </w:r>
      <w:r w:rsidRPr="00FF4E83">
        <w:t>wyników łączących się spółek oraz ich struktur udziałowych i sytuacji podatkowych).</w:t>
      </w:r>
    </w:p>
    <w:p w14:paraId="36A8BD6E" w14:textId="02DEE421" w:rsidR="00EF3FC0" w:rsidRPr="00FF4E83" w:rsidRDefault="00EF3FC0" w:rsidP="00811B09">
      <w:pPr>
        <w:pStyle w:val="NIEARTTEKSTtekstnieartykuowanynppodstprawnarozplubpreambua"/>
      </w:pPr>
      <w:r w:rsidRPr="00FF4E83">
        <w:t xml:space="preserve">Rozważając kwestię, czy bardziej korzystnym jest połączenie danych spółek </w:t>
      </w:r>
      <w:r w:rsidRPr="003E5B5D">
        <w:rPr>
          <w:rStyle w:val="Ppogrubienie"/>
        </w:rPr>
        <w:t>przez przejęcie</w:t>
      </w:r>
      <w:r w:rsidRPr="00FF4E83">
        <w:t xml:space="preserve"> czy też </w:t>
      </w:r>
      <w:r w:rsidRPr="003E5B5D">
        <w:rPr>
          <w:rStyle w:val="Ppogrubienie"/>
        </w:rPr>
        <w:t>przez zawiązanie nowej spółki</w:t>
      </w:r>
      <w:r w:rsidRPr="00FF4E83">
        <w:t xml:space="preserve">, można stwierdzić, że w praktyce gospodarczej przeprowadza się wyłącznie </w:t>
      </w:r>
      <w:r w:rsidRPr="003E5B5D">
        <w:rPr>
          <w:rStyle w:val="Ppogrubienie"/>
        </w:rPr>
        <w:t>połączenia przez przejęcie</w:t>
      </w:r>
      <w:r w:rsidRPr="00FF4E83">
        <w:t>. Skoro realizując procedurę połączenia przez przejęcie można zachować przynajmniej jeden z częstokroć już od wielu lat funkcjonujących i dobrze zorganizowanych wewnętrznie podmiotów, o ugruntowanej pozycji rynkowej, z odpowiednią renomą, o dobrej historii kredytowej i innych zaletach, to brak jest uzasadnienia dla tworzenia nowego podmiotu w miejsce wszystkich innych uczestniczących w</w:t>
      </w:r>
      <w:r w:rsidR="00DF4C18">
        <w:t> </w:t>
      </w:r>
      <w:r w:rsidRPr="00FF4E83">
        <w:t>połączeniu (co ma miejsce w przypadku połączenia przez zawiązanie nowej spółki).</w:t>
      </w:r>
    </w:p>
    <w:p w14:paraId="0277E46E" w14:textId="7849B3B3" w:rsidR="00EF3FC0" w:rsidRPr="00FF4E83" w:rsidRDefault="00EF3FC0" w:rsidP="00811B09">
      <w:pPr>
        <w:pStyle w:val="NIEARTTEKSTtekstnieartykuowanynppodstprawnarozplubpreambua"/>
      </w:pPr>
      <w:r w:rsidRPr="00FF4E83">
        <w:t xml:space="preserve">Z </w:t>
      </w:r>
      <w:r w:rsidR="00F54F1C" w:rsidRPr="00FF4E83">
        <w:t>kolei,</w:t>
      </w:r>
      <w:r w:rsidRPr="00FF4E83">
        <w:t xml:space="preserve"> gdy chodzi o przesłanki podjęcia decyzji w przedmiocie wyboru spółki przejmującej, kluczowy charakter mają kwestie podatkowe. Rozstrzygające znaczenie w tym zakresie ma art. 7 ust. 3 pkt 4 ustawy o VAT, zgodnie z którym, przy ustalaniu dochodu stanowiącego podstawę opodatkowania danej osoby prawnej nie uwzględnia się strat przedsiębiorców przejętych. W praktyce oznacza to, że spółka przejmująca nie może swojego dochodu za dany rok umniejszyć o stratę spółki przejmowanej z lat poprzednich. Wyjątek stanowi sytuacja, w której spółką przejmującą jest spółka, która w ubiegłych latach poniosła stratę. Ona bowiem może tę stratę wykorzystać dla umniejszenia swojego opodatkowania w</w:t>
      </w:r>
      <w:r w:rsidR="00DF4C18">
        <w:t> </w:t>
      </w:r>
      <w:r w:rsidRPr="00FF4E83">
        <w:t>latach kolejnych. Stąd najczęściej (jeżeli inne czynniki nie mają charakteru przesądzającego), spółką przejmującą w danej procedurze połączeniowej powinna być ta spółka, która ma straty podatkowe z lat poprzedzających połączenie.</w:t>
      </w:r>
    </w:p>
    <w:p w14:paraId="4C82FDAB" w14:textId="462C65EA" w:rsidR="00EF3FC0" w:rsidRPr="00FF4E83" w:rsidRDefault="00EF3FC0" w:rsidP="00811B09">
      <w:pPr>
        <w:pStyle w:val="NIEARTTEKSTtekstnieartykuowanynppodstprawnarozplubpreambua"/>
      </w:pPr>
      <w:r w:rsidRPr="00FF4E83">
        <w:t>Mając na uwadze fakt, iż w wyniku podjęcia niniejszej uchwały MZK stanie się jedynym właścicielem PEC, możliwe będzie skorzystanie z uproszczonej procedury połączenia, co</w:t>
      </w:r>
      <w:r w:rsidR="00DF4C18">
        <w:t> </w:t>
      </w:r>
      <w:r w:rsidRPr="00FF4E83">
        <w:t>pozwoli na obniżenie kosztów połączenia jak również skróci czas procedury. Kierując się</w:t>
      </w:r>
      <w:r w:rsidR="00DF4C18">
        <w:t> </w:t>
      </w:r>
      <w:r w:rsidRPr="00FF4E83">
        <w:t>względami opisanymi w powyższym akapicie rekomendowanym jest by spółką przejmującą było MZK, zaś przejmowaną – PEC. Należy bowiem podkreślić, że:</w:t>
      </w:r>
    </w:p>
    <w:p w14:paraId="584A5B52" w14:textId="02453F23" w:rsidR="00EF3FC0" w:rsidRPr="00FF4E83" w:rsidRDefault="00C41575" w:rsidP="00C41575">
      <w:pPr>
        <w:pStyle w:val="LITlitera"/>
      </w:pPr>
      <w:r>
        <w:t>-</w:t>
      </w:r>
      <w:r w:rsidR="00E36BC0">
        <w:tab/>
      </w:r>
      <w:r w:rsidR="00EF3FC0" w:rsidRPr="00FF4E83">
        <w:t>MZK jest spółką o większych rozmiarach ze względu na wielkość posiadanego majątku oraz wielkość osiąganego przychodu, a nadto spółką o wyższym standingu finansowym, podmiotem silniejszym ekonomicznie, charakteryzującym się wyższą efektywnością i sprawnością działania, co w sposób naturalny stawia tę spółkę w</w:t>
      </w:r>
      <w:r w:rsidR="00DF4C18">
        <w:t> </w:t>
      </w:r>
      <w:r w:rsidR="00EF3FC0" w:rsidRPr="00FF4E83">
        <w:t xml:space="preserve">pozycji spółki przejmującej. Włączenie do MZK dodatkowej branży komunalnej (sprzedaż ciepła) wymagałoby jedynie wyodrębnienia w jej strukturze dodatkowego obszaru działalności. Odmiennie byłoby, gdyby PEC przejmował MZK. O przewadze MZK świadczą następujące parametry: suma bilansowa w MZK jest ponad czterokrotnie wyższa niż w PEC (odpowiednio 188,9 mln zł i 46,3 mln zł), wartość </w:t>
      </w:r>
      <w:r w:rsidR="00EF3FC0" w:rsidRPr="00FF4E83">
        <w:lastRenderedPageBreak/>
        <w:t>przychodu natomiast ponad dwukrotnie wyższa niż w PEC (101,9 mln w MZK i</w:t>
      </w:r>
      <w:r w:rsidR="00284CC0">
        <w:t> </w:t>
      </w:r>
      <w:r w:rsidR="00EF3FC0" w:rsidRPr="00FF4E83">
        <w:t>48,4</w:t>
      </w:r>
      <w:r w:rsidR="00284CC0">
        <w:t> </w:t>
      </w:r>
      <w:r w:rsidR="00EF3FC0" w:rsidRPr="00FF4E83">
        <w:t>mln zł w PEC).</w:t>
      </w:r>
    </w:p>
    <w:p w14:paraId="379E2D3C" w14:textId="7999053F" w:rsidR="00EF3FC0" w:rsidRPr="00FF4E83" w:rsidRDefault="00C41575" w:rsidP="00C41575">
      <w:pPr>
        <w:pStyle w:val="LITlitera"/>
      </w:pPr>
      <w:r>
        <w:t>-</w:t>
      </w:r>
      <w:r w:rsidR="00E36BC0">
        <w:tab/>
      </w:r>
      <w:r w:rsidR="00EF3FC0" w:rsidRPr="00FF4E83">
        <w:t xml:space="preserve">MZK jest na zaawansowanym etapie przygotowania istotnej inwestycji (budowy Instalacji Odzysku Energii z frakcji energetycznej odpadów (RDF, PRE-RDF), realizacja tej inwestycji ma być domknięciem procesu przetwarzania odpadów, które pozwoli Gminie Stalowa Wola na uniezależnienie się w przyszłości, od czynników zewnętrznych, które odpowiadają za </w:t>
      </w:r>
      <w:r w:rsidR="00EF3FC0" w:rsidRPr="00284CC0">
        <w:rPr>
          <w:rStyle w:val="Ppogrubienie"/>
        </w:rPr>
        <w:t>obecny wzrost cen</w:t>
      </w:r>
      <w:r w:rsidR="00EF3FC0" w:rsidRPr="00FF4E83">
        <w:t xml:space="preserve"> gospodarki odpadami na</w:t>
      </w:r>
      <w:r w:rsidR="00284CC0">
        <w:t> </w:t>
      </w:r>
      <w:r w:rsidR="00EF3FC0" w:rsidRPr="00FF4E83">
        <w:t>terenie Gminy.</w:t>
      </w:r>
    </w:p>
    <w:p w14:paraId="4A3A2579" w14:textId="115837AE" w:rsidR="00EF3FC0" w:rsidRPr="00FF4E83" w:rsidRDefault="00C41575" w:rsidP="00C41575">
      <w:pPr>
        <w:pStyle w:val="LITlitera"/>
      </w:pPr>
      <w:r>
        <w:t>-</w:t>
      </w:r>
      <w:r w:rsidR="00A41563">
        <w:tab/>
      </w:r>
      <w:r w:rsidR="00EF3FC0" w:rsidRPr="00FF4E83">
        <w:t xml:space="preserve">Ponadto połączenie MZK z PEC pozwoli na osiągnięcie efektu synergii i tym samym pełniejsze wykorzystanie potencjału osobowego i ekonomicznego obu spółek przy realizacji planowanej w/w inwestycji. </w:t>
      </w:r>
    </w:p>
    <w:p w14:paraId="5D0E7225" w14:textId="5EC3B54F" w:rsidR="00EF3FC0" w:rsidRPr="00FF4E83" w:rsidRDefault="00C41575" w:rsidP="00C41575">
      <w:pPr>
        <w:pStyle w:val="LITlitera"/>
      </w:pPr>
      <w:r>
        <w:t>-</w:t>
      </w:r>
      <w:r w:rsidR="00A41563">
        <w:tab/>
      </w:r>
      <w:r w:rsidR="00EF3FC0" w:rsidRPr="00FF4E83">
        <w:t>Działalność prowadzona przez MZK, mimo iż stanowi ono w większości realizację zadań</w:t>
      </w:r>
      <w:r>
        <w:t xml:space="preserve"> </w:t>
      </w:r>
      <w:r w:rsidR="00EF3FC0" w:rsidRPr="00FF4E83">
        <w:t>publicznych, wykazuje większy potencjał do dalszego rozwoju oraz jest działalnością, która obiektywnie wydaje się mieć dominujące znaczenie dla właściciela łączących się podmiotów, co potwierdza również aktualna sytuacja finansowa analizowanych spółek.</w:t>
      </w:r>
    </w:p>
    <w:p w14:paraId="0E3DD893" w14:textId="0FFB465E" w:rsidR="00EF3FC0" w:rsidRPr="00FF4E83" w:rsidRDefault="00C41575" w:rsidP="00C41575">
      <w:pPr>
        <w:pStyle w:val="LITlitera"/>
      </w:pPr>
      <w:r>
        <w:t>-</w:t>
      </w:r>
      <w:r>
        <w:tab/>
      </w:r>
      <w:r w:rsidR="00EF3FC0" w:rsidRPr="00FF4E83">
        <w:t>Z uwagi na przedmiot działalności PEC oraz ograniczone możliwości jego rozwoju, działalność ta w przypadku ewentualnego połączenia będzie, realizowana jako wyodrębniona, jednak mimo wszystko dodatkowa, działalność nowego podmiotu.</w:t>
      </w:r>
    </w:p>
    <w:p w14:paraId="7655C374" w14:textId="43B0101B" w:rsidR="00261A16" w:rsidRPr="00FF4E83" w:rsidRDefault="00EF3FC0" w:rsidP="00C41575">
      <w:pPr>
        <w:pStyle w:val="NIEARTTEKSTtekstnieartykuowanynppodstprawnarozplubpreambua"/>
      </w:pPr>
      <w:r w:rsidRPr="00FF4E83">
        <w:t>Po podjęciu niniejszej uchwały zostaną niezwłocznie podjęte działania zmierzające do</w:t>
      </w:r>
      <w:r w:rsidR="00DF4C18">
        <w:t> </w:t>
      </w:r>
      <w:r w:rsidRPr="00FF4E83">
        <w:t>realizacji celu uchwały, czyli połączenia spółek. W pierwszej kolejności zostaną przeprowadzone czynności związane z podwyższeniem kapitału zakładowego MZK. W dalszej kolejności, obie spółki (MZK i PEC) sporządzą sprawozdania finansowe i zostanie opracowany plan połączenia spółek, który następnie zostanie opublikowany na stronach internetowych obu spółek. Po</w:t>
      </w:r>
      <w:r w:rsidR="00DF4C18">
        <w:t> </w:t>
      </w:r>
      <w:r w:rsidRPr="00FF4E83">
        <w:t>podjęciu uchwały o połączeniu zostaną wszczęte działania zmierzające do</w:t>
      </w:r>
      <w:r w:rsidR="00DF4C18">
        <w:t> </w:t>
      </w:r>
      <w:r w:rsidRPr="00FF4E83">
        <w:t>zarejestrowania połączenia w Krajowym Rejestrze Sądowym.</w:t>
      </w:r>
    </w:p>
    <w:sectPr w:rsidR="00261A16" w:rsidRPr="00FF4E83" w:rsidSect="00F03106">
      <w:headerReference w:type="default" r:id="rId9"/>
      <w:footnotePr>
        <w:numRestart w:val="eachSect"/>
      </w:footnotePr>
      <w:pgSz w:w="11906" w:h="16838"/>
      <w:pgMar w:top="851" w:right="1247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12C0" w14:textId="77777777" w:rsidR="008A41C2" w:rsidRDefault="008A41C2">
      <w:r>
        <w:separator/>
      </w:r>
    </w:p>
  </w:endnote>
  <w:endnote w:type="continuationSeparator" w:id="0">
    <w:p w14:paraId="67B8A54A" w14:textId="77777777" w:rsidR="008A41C2" w:rsidRDefault="008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DE50" w14:textId="77777777" w:rsidR="008A41C2" w:rsidRDefault="008A41C2">
      <w:r>
        <w:separator/>
      </w:r>
    </w:p>
  </w:footnote>
  <w:footnote w:type="continuationSeparator" w:id="0">
    <w:p w14:paraId="19975796" w14:textId="77777777" w:rsidR="008A41C2" w:rsidRDefault="008A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667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FC0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CC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673"/>
    <w:rsid w:val="002D4D30"/>
    <w:rsid w:val="002D5000"/>
    <w:rsid w:val="002D598D"/>
    <w:rsid w:val="002D7188"/>
    <w:rsid w:val="002E099E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B5D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BBA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D5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AD7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B09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1C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8DE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802"/>
    <w:rsid w:val="00A26A90"/>
    <w:rsid w:val="00A26B27"/>
    <w:rsid w:val="00A30E4F"/>
    <w:rsid w:val="00A32253"/>
    <w:rsid w:val="00A3310E"/>
    <w:rsid w:val="00A333A0"/>
    <w:rsid w:val="00A37E70"/>
    <w:rsid w:val="00A41563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A93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575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C18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BC0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C6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FC0"/>
    <w:rsid w:val="00EF47AF"/>
    <w:rsid w:val="00EF53B6"/>
    <w:rsid w:val="00F00B73"/>
    <w:rsid w:val="00F03106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F1C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5856E"/>
  <w15:docId w15:val="{B2CBE710-EDC6-4A51-81A1-F707C10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00F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F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48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19</cp:revision>
  <cp:lastPrinted>2012-04-23T06:39:00Z</cp:lastPrinted>
  <dcterms:created xsi:type="dcterms:W3CDTF">2021-02-05T09:52:00Z</dcterms:created>
  <dcterms:modified xsi:type="dcterms:W3CDTF">2021-02-08T10:02:00Z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