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2981" w14:textId="3D055976" w:rsidR="00073611" w:rsidRDefault="00073611" w:rsidP="0007361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</w:p>
    <w:p w14:paraId="7F087BF9" w14:textId="27FE65C6" w:rsidR="000A455A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UCHWAŁA Nr</w:t>
      </w:r>
      <w:r w:rsidR="00D4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611">
        <w:rPr>
          <w:rFonts w:ascii="Times New Roman" w:hAnsi="Times New Roman" w:cs="Times New Roman"/>
          <w:b/>
          <w:sz w:val="24"/>
          <w:szCs w:val="24"/>
        </w:rPr>
        <w:t>../../2022</w:t>
      </w:r>
    </w:p>
    <w:p w14:paraId="0388F506" w14:textId="77777777" w:rsidR="00437D9B" w:rsidRPr="00C023AB" w:rsidRDefault="00C023A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14:paraId="382C9A82" w14:textId="73C09132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z dnia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0B5">
        <w:rPr>
          <w:rFonts w:ascii="Times New Roman" w:hAnsi="Times New Roman" w:cs="Times New Roman"/>
          <w:b/>
          <w:sz w:val="24"/>
          <w:szCs w:val="24"/>
        </w:rPr>
        <w:t>…</w:t>
      </w:r>
      <w:r w:rsidR="00073611">
        <w:rPr>
          <w:rFonts w:ascii="Times New Roman" w:hAnsi="Times New Roman" w:cs="Times New Roman"/>
          <w:b/>
          <w:sz w:val="24"/>
          <w:szCs w:val="24"/>
        </w:rPr>
        <w:t>września</w:t>
      </w:r>
      <w:r w:rsidR="000A45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8F4" w:rsidRPr="00C023AB">
        <w:rPr>
          <w:rFonts w:ascii="Times New Roman" w:hAnsi="Times New Roman" w:cs="Times New Roman"/>
          <w:b/>
          <w:sz w:val="24"/>
          <w:szCs w:val="24"/>
        </w:rPr>
        <w:t>202</w:t>
      </w:r>
      <w:r w:rsidR="000460B5">
        <w:rPr>
          <w:rFonts w:ascii="Times New Roman" w:hAnsi="Times New Roman" w:cs="Times New Roman"/>
          <w:b/>
          <w:sz w:val="24"/>
          <w:szCs w:val="24"/>
        </w:rPr>
        <w:t>2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223030F7" w14:textId="4E8C1E3C" w:rsidR="00437D9B" w:rsidRPr="00C023AB" w:rsidRDefault="00437D9B" w:rsidP="00437D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w sprawie ustalenia stawki dotacji przedmiotowej dla samorządowego zakładu budżetowego Podkarpackie Centrum Piłki Nożnej w Stalowej Woli na 202</w:t>
      </w:r>
      <w:r w:rsidR="000460B5">
        <w:rPr>
          <w:rFonts w:ascii="Times New Roman" w:hAnsi="Times New Roman" w:cs="Times New Roman"/>
          <w:b/>
          <w:sz w:val="24"/>
          <w:szCs w:val="24"/>
        </w:rPr>
        <w:t>3</w:t>
      </w:r>
      <w:r w:rsidRPr="00C023A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2DD32F00" w14:textId="77777777" w:rsidR="00C023A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9BEE07B" w14:textId="17AC4235" w:rsidR="00437D9B" w:rsidRDefault="00437D9B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</w:t>
      </w:r>
      <w:r w:rsidR="000460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</w:t>
      </w:r>
      <w:r w:rsidR="000460B5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460B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0460B5">
        <w:rPr>
          <w:rFonts w:ascii="Times New Roman" w:hAnsi="Times New Roman" w:cs="Times New Roman"/>
          <w:sz w:val="24"/>
          <w:szCs w:val="24"/>
        </w:rPr>
        <w:t xml:space="preserve">. </w:t>
      </w:r>
      <w:r w:rsidR="004F0EF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F0EFC">
        <w:rPr>
          <w:rFonts w:ascii="Times New Roman" w:hAnsi="Times New Roman" w:cs="Times New Roman"/>
          <w:sz w:val="24"/>
          <w:szCs w:val="24"/>
        </w:rPr>
        <w:t>2</w:t>
      </w:r>
      <w:r w:rsidR="000460B5">
        <w:rPr>
          <w:rFonts w:ascii="Times New Roman" w:hAnsi="Times New Roman" w:cs="Times New Roman"/>
          <w:sz w:val="24"/>
          <w:szCs w:val="24"/>
        </w:rPr>
        <w:t>2</w:t>
      </w:r>
      <w:r w:rsidR="004F0EFC">
        <w:rPr>
          <w:rFonts w:ascii="Times New Roman" w:hAnsi="Times New Roman" w:cs="Times New Roman"/>
          <w:sz w:val="24"/>
          <w:szCs w:val="24"/>
        </w:rPr>
        <w:t xml:space="preserve"> poz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60B5">
        <w:rPr>
          <w:rFonts w:ascii="Times New Roman" w:hAnsi="Times New Roman" w:cs="Times New Roman"/>
          <w:sz w:val="24"/>
          <w:szCs w:val="24"/>
        </w:rPr>
        <w:t>559</w:t>
      </w:r>
      <w:r w:rsidR="00630FA5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i art. 219 ust 1 i 4 ustawy z dnia 27 sierpnia 2009</w:t>
      </w:r>
      <w:r w:rsidR="000460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0460B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finansach publicznych (</w:t>
      </w:r>
      <w:r w:rsidR="000460B5">
        <w:rPr>
          <w:rFonts w:ascii="Times New Roman" w:hAnsi="Times New Roman" w:cs="Times New Roman"/>
          <w:sz w:val="24"/>
          <w:szCs w:val="24"/>
        </w:rPr>
        <w:t xml:space="preserve">t. j. </w:t>
      </w:r>
      <w:r>
        <w:rPr>
          <w:rFonts w:ascii="Times New Roman" w:hAnsi="Times New Roman" w:cs="Times New Roman"/>
          <w:sz w:val="24"/>
          <w:szCs w:val="24"/>
        </w:rPr>
        <w:t>Dz.U</w:t>
      </w:r>
      <w:r w:rsidR="00583E77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25BA">
        <w:rPr>
          <w:rFonts w:ascii="Times New Roman" w:hAnsi="Times New Roman" w:cs="Times New Roman"/>
          <w:sz w:val="24"/>
          <w:szCs w:val="24"/>
        </w:rPr>
        <w:t>2</w:t>
      </w:r>
      <w:r w:rsidR="000460B5">
        <w:rPr>
          <w:rFonts w:ascii="Times New Roman" w:hAnsi="Times New Roman" w:cs="Times New Roman"/>
          <w:sz w:val="24"/>
          <w:szCs w:val="24"/>
        </w:rPr>
        <w:t>2</w:t>
      </w:r>
      <w:r w:rsidR="00583E77">
        <w:rPr>
          <w:rFonts w:ascii="Times New Roman" w:hAnsi="Times New Roman" w:cs="Times New Roman"/>
          <w:sz w:val="24"/>
          <w:szCs w:val="24"/>
        </w:rPr>
        <w:t xml:space="preserve"> poz. </w:t>
      </w:r>
      <w:r w:rsidR="000460B5">
        <w:rPr>
          <w:rFonts w:ascii="Times New Roman" w:hAnsi="Times New Roman" w:cs="Times New Roman"/>
          <w:sz w:val="24"/>
          <w:szCs w:val="24"/>
        </w:rPr>
        <w:t>1634</w:t>
      </w:r>
      <w:r w:rsidR="005E25BA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AB67B1E" w14:textId="77777777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9DFCB9" w14:textId="77777777" w:rsidR="00437D9B" w:rsidRDefault="00437D9B" w:rsidP="00437D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F52258" w14:textId="77777777" w:rsidR="00437D9B" w:rsidRPr="00C023AB" w:rsidRDefault="00437D9B" w:rsidP="00437D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5F335B57" w14:textId="067B1542" w:rsidR="00F62D76" w:rsidRDefault="00F62D76" w:rsidP="00437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Ustala się </w:t>
      </w:r>
      <w:r w:rsidR="000A455A">
        <w:rPr>
          <w:rFonts w:ascii="Times New Roman" w:hAnsi="Times New Roman" w:cs="Times New Roman"/>
          <w:sz w:val="24"/>
          <w:szCs w:val="24"/>
        </w:rPr>
        <w:t xml:space="preserve">jednostkową stawkę dotacji przedmiotowej dla samorządowego zakładu budżetowego – Podkarpackie </w:t>
      </w:r>
      <w:r w:rsidR="00583E77">
        <w:rPr>
          <w:rFonts w:ascii="Times New Roman" w:hAnsi="Times New Roman" w:cs="Times New Roman"/>
          <w:sz w:val="24"/>
          <w:szCs w:val="24"/>
        </w:rPr>
        <w:t>C</w:t>
      </w:r>
      <w:r w:rsidR="000A455A">
        <w:rPr>
          <w:rFonts w:ascii="Times New Roman" w:hAnsi="Times New Roman" w:cs="Times New Roman"/>
          <w:sz w:val="24"/>
          <w:szCs w:val="24"/>
        </w:rPr>
        <w:t xml:space="preserve">entrum </w:t>
      </w:r>
      <w:r w:rsidR="00583E77">
        <w:rPr>
          <w:rFonts w:ascii="Times New Roman" w:hAnsi="Times New Roman" w:cs="Times New Roman"/>
          <w:sz w:val="24"/>
          <w:szCs w:val="24"/>
        </w:rPr>
        <w:t>P</w:t>
      </w:r>
      <w:r w:rsidR="000A455A">
        <w:rPr>
          <w:rFonts w:ascii="Times New Roman" w:hAnsi="Times New Roman" w:cs="Times New Roman"/>
          <w:sz w:val="24"/>
          <w:szCs w:val="24"/>
        </w:rPr>
        <w:t>iłki Nożnej na 202</w:t>
      </w:r>
      <w:r w:rsidR="000460B5">
        <w:rPr>
          <w:rFonts w:ascii="Times New Roman" w:hAnsi="Times New Roman" w:cs="Times New Roman"/>
          <w:sz w:val="24"/>
          <w:szCs w:val="24"/>
        </w:rPr>
        <w:t>3</w:t>
      </w:r>
      <w:r w:rsidR="005E25BA">
        <w:rPr>
          <w:rFonts w:ascii="Times New Roman" w:hAnsi="Times New Roman" w:cs="Times New Roman"/>
          <w:sz w:val="24"/>
          <w:szCs w:val="24"/>
        </w:rPr>
        <w:t xml:space="preserve"> rok w wysokości 19,75 zł</w:t>
      </w:r>
      <w:r w:rsidR="000A455A">
        <w:rPr>
          <w:rFonts w:ascii="Times New Roman" w:hAnsi="Times New Roman" w:cs="Times New Roman"/>
          <w:sz w:val="24"/>
          <w:szCs w:val="24"/>
        </w:rPr>
        <w:t xml:space="preserve"> jako dopłata do wynajmu </w:t>
      </w:r>
      <w:r w:rsidR="00D7038F">
        <w:rPr>
          <w:rFonts w:ascii="Times New Roman" w:hAnsi="Times New Roman" w:cs="Times New Roman"/>
          <w:sz w:val="24"/>
          <w:szCs w:val="24"/>
        </w:rPr>
        <w:t xml:space="preserve">1 m </w:t>
      </w:r>
      <w:r w:rsidR="00D703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038F">
        <w:rPr>
          <w:rFonts w:ascii="Times New Roman" w:hAnsi="Times New Roman" w:cs="Times New Roman"/>
          <w:sz w:val="24"/>
          <w:szCs w:val="24"/>
        </w:rPr>
        <w:t xml:space="preserve"> powierzchni boisk wchodzących w skład Podkarpackiego Centrum Piłki Nożnej.</w:t>
      </w:r>
    </w:p>
    <w:p w14:paraId="5043FC7C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39FFC1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przedmiotowa przekazywana będzie do wysokości kwoty zaplanowanej w budżecie Miasta Stalowej Woli, stosownie do przebiegu realizacji dotowanych zadań.</w:t>
      </w:r>
    </w:p>
    <w:p w14:paraId="5B157FBB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3</w:t>
      </w:r>
    </w:p>
    <w:p w14:paraId="62D202FF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14:paraId="2DC9D737" w14:textId="77777777" w:rsidR="00D7038F" w:rsidRPr="00C023AB" w:rsidRDefault="00D7038F" w:rsidP="00D7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3AB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3522602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7188EA13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88C274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98B72E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82DCA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15C34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E4C0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265385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5EF0E0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4BC03B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1A5ED8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B53BEB" w14:textId="77777777" w:rsidR="00D42B9D" w:rsidRDefault="00D42B9D" w:rsidP="00D703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869BB" w14:textId="77777777" w:rsidR="00D7038F" w:rsidRDefault="00D7038F" w:rsidP="00D703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1D8D1017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myśl art. 219 ustawy z dnia 27 sierpnia 2009 roku o finansach publicznych z budżetu jednostki samorządu terytorialnego mogą być udzielane</w:t>
      </w:r>
      <w:r w:rsidR="00BB48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dotacje przedmiotowe dla samorządowych zakładów budżetowych kalkulowane w</w:t>
      </w:r>
      <w:r w:rsidR="00BB48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dług stawek jednostkowych</w:t>
      </w:r>
      <w:r w:rsidR="00BB48F4">
        <w:rPr>
          <w:rFonts w:ascii="Times New Roman" w:hAnsi="Times New Roman" w:cs="Times New Roman"/>
          <w:sz w:val="24"/>
          <w:szCs w:val="24"/>
        </w:rPr>
        <w:t>. Ustalenie stawek dotacji przedmiotowych należy do wyłącznej kompetencji organu stanowiącego jednostki samorządu terytorialnego.</w:t>
      </w:r>
    </w:p>
    <w:p w14:paraId="47AEFE13" w14:textId="77777777" w:rsidR="00BB48F4" w:rsidRDefault="00BB48F4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Podkarpackie Centrum Piłki Nożnej administruje obiektami sportowymi przy ul. Hutniczej 10a stanowiącymi własność Miasta Stalowej Woli. Prowadzi działalność polegającą miedzy innymi na organizacji imprez sportowych </w:t>
      </w:r>
      <w:r w:rsidR="00EF0B3F">
        <w:rPr>
          <w:rFonts w:ascii="Times New Roman" w:hAnsi="Times New Roman" w:cs="Times New Roman"/>
          <w:sz w:val="24"/>
          <w:szCs w:val="24"/>
        </w:rPr>
        <w:t>na rzecz</w:t>
      </w:r>
      <w:r>
        <w:rPr>
          <w:rFonts w:ascii="Times New Roman" w:hAnsi="Times New Roman" w:cs="Times New Roman"/>
          <w:sz w:val="24"/>
          <w:szCs w:val="24"/>
        </w:rPr>
        <w:t xml:space="preserve"> mieszkańców miasta Stalowej Woli oraz popularyzuje wszelkie formy wypoczynku i rekreacji dla dzieci i młodzieży oraz osób dorosłych.</w:t>
      </w:r>
    </w:p>
    <w:p w14:paraId="1F55EFD4" w14:textId="77777777" w:rsidR="00346939" w:rsidRDefault="003469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kosztów funkcjonowania zakładu nie można zrekompensować poprzez podwyższenie cen świadczonych usług dla mieszkańców miasta, wnioskuje się o ustalenie stawki dotacji przedmiotowej jako dopłaty do kosztów </w:t>
      </w:r>
      <w:r w:rsidR="000A455A">
        <w:rPr>
          <w:rFonts w:ascii="Times New Roman" w:hAnsi="Times New Roman" w:cs="Times New Roman"/>
          <w:sz w:val="24"/>
          <w:szCs w:val="24"/>
        </w:rPr>
        <w:t>wynajmu 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boisk wchodzących w skład kompleksu zarządzanego przez zakład. </w:t>
      </w:r>
    </w:p>
    <w:p w14:paraId="3EDE5216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określenia stawki jednostkowej dotacji</w:t>
      </w:r>
      <w:r w:rsidR="004878A1">
        <w:rPr>
          <w:rFonts w:ascii="Times New Roman" w:hAnsi="Times New Roman" w:cs="Times New Roman"/>
          <w:sz w:val="24"/>
          <w:szCs w:val="24"/>
        </w:rPr>
        <w:t xml:space="preserve"> (DJ)</w:t>
      </w:r>
      <w:r>
        <w:rPr>
          <w:rFonts w:ascii="Times New Roman" w:hAnsi="Times New Roman" w:cs="Times New Roman"/>
          <w:sz w:val="24"/>
          <w:szCs w:val="24"/>
        </w:rPr>
        <w:t xml:space="preserve"> są następujące czynniki:</w:t>
      </w:r>
    </w:p>
    <w:p w14:paraId="71FFE710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Koszty użytkowania obiektów</w:t>
      </w:r>
      <w:r w:rsidR="004878A1">
        <w:rPr>
          <w:rFonts w:ascii="Times New Roman" w:hAnsi="Times New Roman" w:cs="Times New Roman"/>
          <w:sz w:val="24"/>
          <w:szCs w:val="24"/>
        </w:rPr>
        <w:t xml:space="preserve"> (KU)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55A">
        <w:rPr>
          <w:rFonts w:ascii="Times New Roman" w:hAnsi="Times New Roman" w:cs="Times New Roman"/>
          <w:sz w:val="24"/>
          <w:szCs w:val="24"/>
        </w:rPr>
        <w:t xml:space="preserve">1.799.741,00 zł. </w:t>
      </w:r>
    </w:p>
    <w:p w14:paraId="01503F30" w14:textId="77777777" w:rsid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Planowane do uzyskania przychody z prowadzonej działalności </w:t>
      </w:r>
      <w:r w:rsidR="004878A1">
        <w:rPr>
          <w:rFonts w:ascii="Times New Roman" w:hAnsi="Times New Roman" w:cs="Times New Roman"/>
          <w:sz w:val="24"/>
          <w:szCs w:val="24"/>
        </w:rPr>
        <w:t>(PP)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A455A">
        <w:rPr>
          <w:rFonts w:ascii="Times New Roman" w:hAnsi="Times New Roman" w:cs="Times New Roman"/>
          <w:sz w:val="24"/>
          <w:szCs w:val="24"/>
        </w:rPr>
        <w:t xml:space="preserve">899.970,50 zł. </w:t>
      </w:r>
    </w:p>
    <w:p w14:paraId="7E94B6FA" w14:textId="77777777" w:rsidR="00B15339" w:rsidRPr="00B15339" w:rsidRDefault="00B15339" w:rsidP="00D7038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Powierzchnia boisk </w:t>
      </w:r>
      <w:r w:rsidR="004878A1">
        <w:rPr>
          <w:rFonts w:ascii="Times New Roman" w:hAnsi="Times New Roman" w:cs="Times New Roman"/>
          <w:sz w:val="24"/>
          <w:szCs w:val="24"/>
        </w:rPr>
        <w:t xml:space="preserve">(PB) - </w:t>
      </w:r>
      <w:r w:rsidR="00BF6BDE">
        <w:rPr>
          <w:rFonts w:ascii="Times New Roman" w:hAnsi="Times New Roman" w:cs="Times New Roman"/>
          <w:sz w:val="24"/>
          <w:szCs w:val="24"/>
        </w:rPr>
        <w:t>45.558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A3C8AE9" w14:textId="77777777" w:rsidR="00B15339" w:rsidRPr="00346939" w:rsidRDefault="00B15339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9D5D9" w14:textId="77777777" w:rsidR="00BB48F4" w:rsidRDefault="004878A1" w:rsidP="00D7038F">
      <w:pPr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DJ=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KU-PP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1.799.741,00-899.970,50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45.558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19,75 zł/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14:paraId="617DD16D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D83C82" w14:textId="77777777" w:rsidR="00D7038F" w:rsidRDefault="00D7038F" w:rsidP="00D703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960F02" w14:textId="77777777" w:rsidR="00D7038F" w:rsidRPr="00D7038F" w:rsidRDefault="00D7038F" w:rsidP="00437D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038F" w:rsidRPr="00D7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D9B"/>
    <w:rsid w:val="000460B5"/>
    <w:rsid w:val="00073611"/>
    <w:rsid w:val="000A455A"/>
    <w:rsid w:val="00336616"/>
    <w:rsid w:val="00346939"/>
    <w:rsid w:val="00437D9B"/>
    <w:rsid w:val="004878A1"/>
    <w:rsid w:val="004F0EFC"/>
    <w:rsid w:val="00583E77"/>
    <w:rsid w:val="005B4DED"/>
    <w:rsid w:val="005B5612"/>
    <w:rsid w:val="005E25BA"/>
    <w:rsid w:val="00630FA5"/>
    <w:rsid w:val="00921952"/>
    <w:rsid w:val="00975583"/>
    <w:rsid w:val="009E1A2E"/>
    <w:rsid w:val="00AA3AD5"/>
    <w:rsid w:val="00B15339"/>
    <w:rsid w:val="00BB48F4"/>
    <w:rsid w:val="00BF6BDE"/>
    <w:rsid w:val="00C023AB"/>
    <w:rsid w:val="00CC16F8"/>
    <w:rsid w:val="00D42B9D"/>
    <w:rsid w:val="00D7038F"/>
    <w:rsid w:val="00EF0B3F"/>
    <w:rsid w:val="00F62D76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6092"/>
  <w15:chartTrackingRefBased/>
  <w15:docId w15:val="{F6B34DCC-592F-4DB5-9CCF-5767F58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78A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BD09-DB19-4340-9AF1-49BAEC1E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7</cp:revision>
  <cp:lastPrinted>2022-09-13T07:05:00Z</cp:lastPrinted>
  <dcterms:created xsi:type="dcterms:W3CDTF">2021-10-22T05:49:00Z</dcterms:created>
  <dcterms:modified xsi:type="dcterms:W3CDTF">2022-09-23T07:16:00Z</dcterms:modified>
</cp:coreProperties>
</file>