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2541" w14:textId="77777777" w:rsidR="007B7CD7" w:rsidRDefault="007B7CD7" w:rsidP="007B7CD7">
      <w:pPr>
        <w:pStyle w:val="NormalnyWeb"/>
        <w:ind w:left="2832" w:firstLine="708"/>
      </w:pPr>
      <w:r w:rsidRPr="007B7CD7">
        <w:rPr>
          <w:b/>
        </w:rPr>
        <w:t>UZASADNIENIE</w:t>
      </w:r>
    </w:p>
    <w:p w14:paraId="0BD1EC6F" w14:textId="77777777" w:rsidR="007B7CD7" w:rsidRDefault="007B7CD7" w:rsidP="007B7CD7">
      <w:pPr>
        <w:pStyle w:val="NormalnyWeb"/>
        <w:ind w:firstLine="708"/>
      </w:pPr>
      <w:r>
        <w:t>Projektowana uchwała jest realizacją dyspozycji art. 5 ust. 1 ustawy z dnia 12 stycznia 1991 r. o podatkach i opłatach lokalnych  (Dz. U. z  2022 r., poz. 1452 ze zm.).</w:t>
      </w:r>
    </w:p>
    <w:p w14:paraId="0F680C2F" w14:textId="77777777" w:rsidR="007B7CD7" w:rsidRDefault="007B7CD7" w:rsidP="000F623D">
      <w:pPr>
        <w:pStyle w:val="NormalnyWeb"/>
        <w:jc w:val="both"/>
      </w:pPr>
      <w:r>
        <w:t xml:space="preserve">Zgodnie z powyższym </w:t>
      </w:r>
      <w:r w:rsidR="000F623D">
        <w:t>przepisem, rada gminy</w:t>
      </w:r>
      <w:r>
        <w:t xml:space="preserve"> w drodze uchwały, określa wysokość stawek podatku od nieruchomości. Stawki </w:t>
      </w:r>
      <w:r w:rsidR="000F623D">
        <w:t xml:space="preserve">te </w:t>
      </w:r>
      <w:r>
        <w:t>nie mogą przekroczyć górnych granic stawek kwotowych podatków i opłat lokalnych ogłoszonych w obwieszczeniu Ministra Finansów z dnia 28 lipca 2022 r., w sprawie górnych granic stawek kwotowych podatków i opłat lokalnych na 202</w:t>
      </w:r>
      <w:r w:rsidR="00AF2529">
        <w:t>3</w:t>
      </w:r>
      <w:r>
        <w:t xml:space="preserve"> r. (M.P. z 20</w:t>
      </w:r>
      <w:r w:rsidR="00AF2529">
        <w:t>22</w:t>
      </w:r>
      <w:r>
        <w:t xml:space="preserve"> r., poz. </w:t>
      </w:r>
      <w:r w:rsidR="00AF2529">
        <w:t>731</w:t>
      </w:r>
      <w:r>
        <w:t>).</w:t>
      </w:r>
    </w:p>
    <w:p w14:paraId="25A820D9" w14:textId="77777777" w:rsidR="00331644" w:rsidRPr="00331644" w:rsidRDefault="000F623D" w:rsidP="00331644">
      <w:pPr>
        <w:pStyle w:val="NormalnyWeb"/>
        <w:jc w:val="both"/>
        <w:rPr>
          <w:rFonts w:ascii="Calibri" w:eastAsia="Calibri" w:hAnsi="Calibri"/>
        </w:rPr>
      </w:pPr>
      <w:r>
        <w:t>Proponowane zmiany przedstawia</w:t>
      </w:r>
      <w:r w:rsidR="00F71D44">
        <w:t xml:space="preserve"> poniższa tabela</w:t>
      </w:r>
      <w:r>
        <w:t>: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93"/>
        <w:gridCol w:w="2034"/>
        <w:gridCol w:w="1701"/>
        <w:gridCol w:w="1762"/>
      </w:tblGrid>
      <w:tr w:rsidR="00654C46" w:rsidRPr="00331644" w14:paraId="47E009C1" w14:textId="79427A2A" w:rsidTr="000537B4">
        <w:trPr>
          <w:trHeight w:val="479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3E00DA08" w14:textId="77777777" w:rsidR="00654C46" w:rsidRPr="00331644" w:rsidRDefault="00654C46" w:rsidP="0033164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Podmiot opodatkowania</w:t>
            </w:r>
          </w:p>
        </w:tc>
        <w:tc>
          <w:tcPr>
            <w:tcW w:w="1793" w:type="dxa"/>
            <w:shd w:val="clear" w:color="auto" w:fill="D9D9D9"/>
            <w:vAlign w:val="center"/>
          </w:tcPr>
          <w:p w14:paraId="41B93D66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Obecne stawki</w:t>
            </w:r>
          </w:p>
        </w:tc>
        <w:tc>
          <w:tcPr>
            <w:tcW w:w="2034" w:type="dxa"/>
            <w:shd w:val="clear" w:color="auto" w:fill="D9D9D9"/>
            <w:vAlign w:val="center"/>
          </w:tcPr>
          <w:p w14:paraId="7A753962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Maksymalne stawki na 2023 r.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E2761CE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Proponowane stawki </w:t>
            </w:r>
          </w:p>
        </w:tc>
        <w:tc>
          <w:tcPr>
            <w:tcW w:w="1762" w:type="dxa"/>
            <w:shd w:val="clear" w:color="auto" w:fill="D9D9D9"/>
          </w:tcPr>
          <w:p w14:paraId="06558BA2" w14:textId="42C82006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Różnica do stawki maksymalnej</w:t>
            </w:r>
          </w:p>
        </w:tc>
      </w:tr>
      <w:tr w:rsidR="00654C46" w:rsidRPr="00331644" w14:paraId="76EF283D" w14:textId="1ADA6865" w:rsidTr="000537B4">
        <w:trPr>
          <w:trHeight w:val="44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78E31CEF" w14:textId="77777777" w:rsidR="00654C46" w:rsidRPr="00331644" w:rsidRDefault="00654C46" w:rsidP="0033164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Grunty</w:t>
            </w: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 działalność gospodarcza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BD9E546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0,65</w:t>
            </w:r>
          </w:p>
        </w:tc>
        <w:tc>
          <w:tcPr>
            <w:tcW w:w="2034" w:type="dxa"/>
            <w:vAlign w:val="center"/>
          </w:tcPr>
          <w:p w14:paraId="313D905D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802C6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0,80</w:t>
            </w:r>
          </w:p>
        </w:tc>
        <w:tc>
          <w:tcPr>
            <w:tcW w:w="1762" w:type="dxa"/>
          </w:tcPr>
          <w:p w14:paraId="47E3BA6A" w14:textId="16BE55E6" w:rsidR="00654C46" w:rsidRPr="00331644" w:rsidRDefault="002C34E2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0,36</w:t>
            </w:r>
          </w:p>
        </w:tc>
      </w:tr>
      <w:tr w:rsidR="00654C46" w:rsidRPr="00331644" w14:paraId="3B2699C3" w14:textId="0673588A" w:rsidTr="000537B4">
        <w:trPr>
          <w:trHeight w:val="44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4FE7A2D9" w14:textId="77777777" w:rsidR="00654C46" w:rsidRPr="00331644" w:rsidRDefault="00654C46" w:rsidP="0033164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Grunty </w:t>
            </w: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działalność gospodarcza – </w:t>
            </w: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paliwa i banki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5F2DE3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0,89 </w:t>
            </w:r>
          </w:p>
        </w:tc>
        <w:tc>
          <w:tcPr>
            <w:tcW w:w="2034" w:type="dxa"/>
            <w:vAlign w:val="center"/>
          </w:tcPr>
          <w:p w14:paraId="527002C7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777AB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0,89 </w:t>
            </w:r>
          </w:p>
        </w:tc>
        <w:tc>
          <w:tcPr>
            <w:tcW w:w="1762" w:type="dxa"/>
          </w:tcPr>
          <w:p w14:paraId="12186C6B" w14:textId="7449F8A4" w:rsidR="00654C46" w:rsidRPr="00331644" w:rsidRDefault="002C34E2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0,27</w:t>
            </w:r>
          </w:p>
        </w:tc>
      </w:tr>
      <w:tr w:rsidR="00654C46" w:rsidRPr="00331644" w14:paraId="594945B5" w14:textId="4E0406E2" w:rsidTr="000537B4">
        <w:trPr>
          <w:trHeight w:val="44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52E5A1FC" w14:textId="77777777" w:rsidR="00654C46" w:rsidRPr="00331644" w:rsidRDefault="00654C46" w:rsidP="0033164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Grunty </w:t>
            </w: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działalność gospodarcza – </w:t>
            </w: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energia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E8419B6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0,89 </w:t>
            </w:r>
          </w:p>
        </w:tc>
        <w:tc>
          <w:tcPr>
            <w:tcW w:w="2034" w:type="dxa"/>
            <w:vAlign w:val="center"/>
          </w:tcPr>
          <w:p w14:paraId="3CDB3ACD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BA297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1,00 </w:t>
            </w:r>
          </w:p>
        </w:tc>
        <w:tc>
          <w:tcPr>
            <w:tcW w:w="1762" w:type="dxa"/>
          </w:tcPr>
          <w:p w14:paraId="0B88E6EB" w14:textId="1B37029A" w:rsidR="00654C46" w:rsidRPr="00331644" w:rsidRDefault="002C34E2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0,16</w:t>
            </w:r>
          </w:p>
        </w:tc>
      </w:tr>
      <w:tr w:rsidR="00654C46" w:rsidRPr="00331644" w14:paraId="01D03A66" w14:textId="1E0F7E8B" w:rsidTr="000537B4">
        <w:trPr>
          <w:trHeight w:val="521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6B041C33" w14:textId="77777777" w:rsidR="00654C46" w:rsidRPr="00331644" w:rsidRDefault="00654C46" w:rsidP="0033164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Budynki </w:t>
            </w:r>
            <w:r w:rsidRPr="00331644">
              <w:rPr>
                <w:rFonts w:ascii="Calibri" w:eastAsia="Calibri" w:hAnsi="Calibri" w:cs="Calibri"/>
                <w:sz w:val="24"/>
                <w:szCs w:val="24"/>
              </w:rPr>
              <w:t>działalność gospodarcza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7BABC80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22,00</w:t>
            </w:r>
          </w:p>
        </w:tc>
        <w:tc>
          <w:tcPr>
            <w:tcW w:w="2034" w:type="dxa"/>
            <w:vAlign w:val="center"/>
          </w:tcPr>
          <w:p w14:paraId="71DE4A98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28,78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0B016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25,00</w:t>
            </w:r>
          </w:p>
        </w:tc>
        <w:tc>
          <w:tcPr>
            <w:tcW w:w="1762" w:type="dxa"/>
          </w:tcPr>
          <w:p w14:paraId="537664AD" w14:textId="7976BCEC" w:rsidR="00654C46" w:rsidRPr="00331644" w:rsidRDefault="002C34E2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3,78</w:t>
            </w:r>
          </w:p>
        </w:tc>
      </w:tr>
      <w:tr w:rsidR="00654C46" w:rsidRPr="00331644" w14:paraId="0ECFF558" w14:textId="000113F3" w:rsidTr="000537B4">
        <w:trPr>
          <w:trHeight w:val="159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2C5D1F04" w14:textId="77777777" w:rsidR="00654C46" w:rsidRPr="00331644" w:rsidRDefault="00654C46" w:rsidP="0033164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Budynki </w:t>
            </w: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działalność gospodarcza – </w:t>
            </w: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paliwa i banki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B7BACA2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23,00</w:t>
            </w:r>
          </w:p>
        </w:tc>
        <w:tc>
          <w:tcPr>
            <w:tcW w:w="2034" w:type="dxa"/>
            <w:vAlign w:val="center"/>
          </w:tcPr>
          <w:p w14:paraId="229A749B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28,78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8292A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25,00</w:t>
            </w:r>
          </w:p>
        </w:tc>
        <w:tc>
          <w:tcPr>
            <w:tcW w:w="1762" w:type="dxa"/>
          </w:tcPr>
          <w:p w14:paraId="4466EF40" w14:textId="51E7298A" w:rsidR="00654C46" w:rsidRPr="00331644" w:rsidRDefault="002C34E2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3,78</w:t>
            </w:r>
          </w:p>
        </w:tc>
      </w:tr>
      <w:tr w:rsidR="00654C46" w:rsidRPr="00331644" w14:paraId="3AB74511" w14:textId="3BF536E7" w:rsidTr="000537B4">
        <w:trPr>
          <w:trHeight w:val="159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5B03F693" w14:textId="22A62BAE" w:rsidR="00654C46" w:rsidRPr="00031891" w:rsidRDefault="00654C46" w:rsidP="00331644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Budynki </w:t>
            </w: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działalność gospodarcza – </w:t>
            </w: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handel pow. 1000 m</w:t>
            </w:r>
            <w:r w:rsidRPr="00331644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2</w:t>
            </w: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  <w:r w:rsidR="0003189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 wył. Obrębu Nr 6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2175BCA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23,00</w:t>
            </w:r>
          </w:p>
        </w:tc>
        <w:tc>
          <w:tcPr>
            <w:tcW w:w="2034" w:type="dxa"/>
            <w:vAlign w:val="center"/>
          </w:tcPr>
          <w:p w14:paraId="15292DED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28,78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392E5" w14:textId="77777777" w:rsidR="00654C46" w:rsidRPr="00331644" w:rsidRDefault="00654C46" w:rsidP="0033164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28,00</w:t>
            </w:r>
          </w:p>
        </w:tc>
        <w:tc>
          <w:tcPr>
            <w:tcW w:w="1762" w:type="dxa"/>
          </w:tcPr>
          <w:p w14:paraId="49481CA6" w14:textId="73A9FE6A" w:rsidR="00654C46" w:rsidRPr="00331644" w:rsidRDefault="002C34E2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0,78</w:t>
            </w:r>
          </w:p>
        </w:tc>
      </w:tr>
      <w:tr w:rsidR="00031891" w:rsidRPr="00331644" w14:paraId="5FB45F07" w14:textId="77777777" w:rsidTr="000537B4">
        <w:trPr>
          <w:trHeight w:val="159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1A119A11" w14:textId="5BE689E0" w:rsidR="00031891" w:rsidRPr="00331644" w:rsidRDefault="00031891" w:rsidP="0003189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Budynki </w:t>
            </w:r>
            <w:r w:rsidRPr="00331644">
              <w:rPr>
                <w:rFonts w:ascii="Calibri" w:eastAsia="Calibri" w:hAnsi="Calibri" w:cs="Calibri"/>
                <w:sz w:val="24"/>
                <w:szCs w:val="24"/>
              </w:rPr>
              <w:t xml:space="preserve">działalność gospodarcza – </w:t>
            </w:r>
            <w:r w:rsidRPr="003316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energia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0503E3E" w14:textId="4B843DB9" w:rsidR="00031891" w:rsidRPr="00331644" w:rsidRDefault="00031891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23,00</w:t>
            </w:r>
          </w:p>
        </w:tc>
        <w:tc>
          <w:tcPr>
            <w:tcW w:w="2034" w:type="dxa"/>
            <w:vAlign w:val="center"/>
          </w:tcPr>
          <w:p w14:paraId="11708F9E" w14:textId="2B40AEC9" w:rsidR="00031891" w:rsidRPr="00331644" w:rsidRDefault="00031891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28,78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251A1" w14:textId="6B7E20EB" w:rsidR="00031891" w:rsidRPr="00331644" w:rsidRDefault="00031891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1644">
              <w:rPr>
                <w:rFonts w:ascii="Calibri" w:eastAsia="Calibri" w:hAnsi="Calibri" w:cs="Calibri"/>
                <w:sz w:val="24"/>
                <w:szCs w:val="24"/>
              </w:rPr>
              <w:t>28,00</w:t>
            </w:r>
          </w:p>
        </w:tc>
        <w:tc>
          <w:tcPr>
            <w:tcW w:w="1762" w:type="dxa"/>
          </w:tcPr>
          <w:p w14:paraId="59424DED" w14:textId="60C1D7A6" w:rsidR="00031891" w:rsidRDefault="00031891" w:rsidP="000318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0,78</w:t>
            </w:r>
          </w:p>
        </w:tc>
      </w:tr>
    </w:tbl>
    <w:p w14:paraId="23E169E8" w14:textId="77777777" w:rsidR="00F1471A" w:rsidRPr="00B77F5E" w:rsidRDefault="005963F8" w:rsidP="000F623D">
      <w:pPr>
        <w:pStyle w:val="NormalnyWeb"/>
        <w:jc w:val="both"/>
      </w:pPr>
      <w:r>
        <w:t>Szacuje się, że przy zastosowaniu proponowanych stawek</w:t>
      </w:r>
      <w:r w:rsidR="00F1471A">
        <w:t xml:space="preserve"> </w:t>
      </w:r>
      <w:r w:rsidR="002A1202">
        <w:t xml:space="preserve">w stosunku do roku 2022 </w:t>
      </w:r>
      <w:r w:rsidR="00F1471A">
        <w:t xml:space="preserve">nastąpiłby wzrost </w:t>
      </w:r>
      <w:r>
        <w:t>dochod</w:t>
      </w:r>
      <w:r w:rsidR="00F1471A">
        <w:t xml:space="preserve">ów </w:t>
      </w:r>
      <w:r>
        <w:t xml:space="preserve"> budżetow</w:t>
      </w:r>
      <w:r w:rsidR="00F1471A">
        <w:t>ych o kwotę</w:t>
      </w:r>
      <w:r>
        <w:t xml:space="preserve"> </w:t>
      </w:r>
      <w:r w:rsidR="00B77F5E">
        <w:t xml:space="preserve"> </w:t>
      </w:r>
      <w:r w:rsidR="00B77F5E" w:rsidRPr="00B77F5E">
        <w:rPr>
          <w:b/>
        </w:rPr>
        <w:t>6 433 287,53 zł</w:t>
      </w:r>
      <w:r w:rsidR="003D2762">
        <w:rPr>
          <w:b/>
        </w:rPr>
        <w:t>.</w:t>
      </w:r>
      <w:r w:rsidRPr="00B77F5E">
        <w:rPr>
          <w:b/>
        </w:rPr>
        <w:t xml:space="preserve"> </w:t>
      </w:r>
      <w:r w:rsidR="00B77F5E">
        <w:t xml:space="preserve">  </w:t>
      </w:r>
    </w:p>
    <w:p w14:paraId="74929025" w14:textId="77777777" w:rsidR="000F623D" w:rsidRDefault="00B77F5E" w:rsidP="000F623D">
      <w:pPr>
        <w:pStyle w:val="NormalnyWeb"/>
        <w:jc w:val="both"/>
      </w:pPr>
      <w:r>
        <w:t>P</w:t>
      </w:r>
      <w:r w:rsidR="000F623D">
        <w:t>ozostałe stawki pozostawi</w:t>
      </w:r>
      <w:r w:rsidR="00520504">
        <w:t>ono</w:t>
      </w:r>
      <w:r>
        <w:t xml:space="preserve"> bez zmian, co ilustruje poniższa tabela: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330"/>
        <w:gridCol w:w="2934"/>
      </w:tblGrid>
      <w:tr w:rsidR="00B77F5E" w:rsidRPr="00B77F5E" w14:paraId="38BE4765" w14:textId="77777777" w:rsidTr="008B0DDB">
        <w:trPr>
          <w:trHeight w:val="170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35B0DB32" w14:textId="77777777" w:rsidR="00B77F5E" w:rsidRPr="00B77F5E" w:rsidRDefault="00B77F5E" w:rsidP="00B77F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>Podmiot opodatkowania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5CD5DB76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>Obecne stawki</w:t>
            </w:r>
          </w:p>
        </w:tc>
        <w:tc>
          <w:tcPr>
            <w:tcW w:w="2934" w:type="dxa"/>
            <w:shd w:val="clear" w:color="auto" w:fill="D9D9D9"/>
            <w:vAlign w:val="center"/>
          </w:tcPr>
          <w:p w14:paraId="135136F4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Maksymalne stawki </w:t>
            </w:r>
          </w:p>
          <w:p w14:paraId="2DB5F680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>na 2023 r.</w:t>
            </w:r>
          </w:p>
        </w:tc>
      </w:tr>
      <w:tr w:rsidR="00B77F5E" w:rsidRPr="00B77F5E" w14:paraId="7BD76954" w14:textId="77777777" w:rsidTr="008B0DDB">
        <w:trPr>
          <w:trHeight w:hRule="exact" w:val="51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76C5BEB0" w14:textId="77777777" w:rsidR="00B77F5E" w:rsidRPr="00B77F5E" w:rsidRDefault="00B77F5E" w:rsidP="00B77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>Grunty</w:t>
            </w:r>
            <w:r w:rsidRPr="00B77F5E">
              <w:rPr>
                <w:rFonts w:ascii="Calibri" w:eastAsia="Calibri" w:hAnsi="Calibri" w:cs="Calibri"/>
                <w:sz w:val="24"/>
                <w:szCs w:val="24"/>
              </w:rPr>
              <w:t xml:space="preserve"> pozostałe (mieszkalne)</w:t>
            </w:r>
          </w:p>
        </w:tc>
        <w:tc>
          <w:tcPr>
            <w:tcW w:w="2330" w:type="dxa"/>
            <w:vAlign w:val="center"/>
          </w:tcPr>
          <w:p w14:paraId="1B314D57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0,16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4D70CF8E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0,61</w:t>
            </w:r>
          </w:p>
        </w:tc>
      </w:tr>
      <w:tr w:rsidR="00B77F5E" w:rsidRPr="00B77F5E" w14:paraId="01C93888" w14:textId="77777777" w:rsidTr="008B0DDB">
        <w:trPr>
          <w:trHeight w:hRule="exact" w:val="51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11F0A731" w14:textId="77777777" w:rsidR="00B77F5E" w:rsidRPr="00B77F5E" w:rsidRDefault="00B77F5E" w:rsidP="00B77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>Budynki</w:t>
            </w:r>
            <w:r w:rsidRPr="00B77F5E">
              <w:rPr>
                <w:rFonts w:ascii="Calibri" w:eastAsia="Calibri" w:hAnsi="Calibri" w:cs="Calibri"/>
                <w:sz w:val="24"/>
                <w:szCs w:val="24"/>
              </w:rPr>
              <w:t xml:space="preserve"> mieszkalne</w:t>
            </w:r>
          </w:p>
        </w:tc>
        <w:tc>
          <w:tcPr>
            <w:tcW w:w="2330" w:type="dxa"/>
            <w:vAlign w:val="center"/>
          </w:tcPr>
          <w:p w14:paraId="584AB706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0,48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455C522C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1,00</w:t>
            </w:r>
          </w:p>
        </w:tc>
      </w:tr>
      <w:tr w:rsidR="00B77F5E" w:rsidRPr="00B77F5E" w14:paraId="185D7F06" w14:textId="77777777" w:rsidTr="008B0DDB">
        <w:trPr>
          <w:trHeight w:hRule="exact" w:val="51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1F8A6504" w14:textId="77777777" w:rsidR="00B77F5E" w:rsidRPr="00B77F5E" w:rsidRDefault="00B77F5E" w:rsidP="00B77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>Budynki</w:t>
            </w:r>
            <w:r w:rsidRPr="00B77F5E">
              <w:rPr>
                <w:rFonts w:ascii="Calibri" w:eastAsia="Calibri" w:hAnsi="Calibri" w:cs="Calibri"/>
                <w:sz w:val="24"/>
                <w:szCs w:val="24"/>
              </w:rPr>
              <w:t xml:space="preserve"> świadczenia zdrowotne</w:t>
            </w:r>
          </w:p>
        </w:tc>
        <w:tc>
          <w:tcPr>
            <w:tcW w:w="2330" w:type="dxa"/>
            <w:vAlign w:val="center"/>
          </w:tcPr>
          <w:p w14:paraId="1B52195C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3,70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7A38CCE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5,87</w:t>
            </w:r>
          </w:p>
        </w:tc>
      </w:tr>
      <w:tr w:rsidR="00B77F5E" w:rsidRPr="00B77F5E" w14:paraId="5419294C" w14:textId="77777777" w:rsidTr="008B0DDB">
        <w:trPr>
          <w:trHeight w:hRule="exact" w:val="51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55DEC7E5" w14:textId="77777777" w:rsidR="00B77F5E" w:rsidRPr="00B77F5E" w:rsidRDefault="00B77F5E" w:rsidP="00B77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Budynki </w:t>
            </w:r>
            <w:r w:rsidRPr="00B77F5E">
              <w:rPr>
                <w:rFonts w:ascii="Calibri" w:eastAsia="Calibri" w:hAnsi="Calibri" w:cs="Calibri"/>
                <w:sz w:val="24"/>
                <w:szCs w:val="24"/>
              </w:rPr>
              <w:t>pozostałe (garaże)</w:t>
            </w:r>
          </w:p>
        </w:tc>
        <w:tc>
          <w:tcPr>
            <w:tcW w:w="2330" w:type="dxa"/>
            <w:vAlign w:val="center"/>
          </w:tcPr>
          <w:p w14:paraId="5EA7774D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5,56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5998C061" w14:textId="77777777" w:rsidR="00B77F5E" w:rsidRPr="00B77F5E" w:rsidRDefault="00B77F5E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F5E">
              <w:rPr>
                <w:rFonts w:ascii="Calibri" w:eastAsia="Calibri" w:hAnsi="Calibri" w:cs="Calibri"/>
                <w:sz w:val="24"/>
                <w:szCs w:val="24"/>
              </w:rPr>
              <w:t>9,71</w:t>
            </w:r>
          </w:p>
        </w:tc>
      </w:tr>
      <w:tr w:rsidR="002A1202" w:rsidRPr="00B77F5E" w14:paraId="589CD1A7" w14:textId="77777777" w:rsidTr="008B0DDB">
        <w:trPr>
          <w:trHeight w:hRule="exact" w:val="51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64521D34" w14:textId="77777777" w:rsidR="002A1202" w:rsidRPr="00B77F5E" w:rsidRDefault="002A1202" w:rsidP="00B77F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Budowle</w:t>
            </w:r>
          </w:p>
        </w:tc>
        <w:tc>
          <w:tcPr>
            <w:tcW w:w="2330" w:type="dxa"/>
            <w:vAlign w:val="center"/>
          </w:tcPr>
          <w:p w14:paraId="3D373081" w14:textId="77777777" w:rsidR="002A1202" w:rsidRPr="00B77F5E" w:rsidRDefault="002A1202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2%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094C8BD3" w14:textId="77777777" w:rsidR="002A1202" w:rsidRPr="00B77F5E" w:rsidRDefault="002A1202" w:rsidP="00B7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2%</w:t>
            </w:r>
          </w:p>
        </w:tc>
      </w:tr>
    </w:tbl>
    <w:p w14:paraId="1323CFC2" w14:textId="77777777" w:rsidR="00520504" w:rsidRDefault="006E3FE0" w:rsidP="000F623D">
      <w:pPr>
        <w:pStyle w:val="NormalnyWeb"/>
        <w:jc w:val="both"/>
      </w:pPr>
      <w:r>
        <w:lastRenderedPageBreak/>
        <w:t xml:space="preserve">Nadmienia się przy tym, że stawki dotyczące gruntów pozostałych oraz budynków mieszkalnych nie były podnoszone od 2008 roku. </w:t>
      </w:r>
      <w:r w:rsidR="003D2762">
        <w:t>Powyższy fakt jest podyktowany ciągłym wzrostem kosztów związanych z prowadzeniem i utrzymaniem gospodarstw domowych.</w:t>
      </w:r>
    </w:p>
    <w:p w14:paraId="57216AC3" w14:textId="035B11C9" w:rsidR="00654C46" w:rsidRDefault="002C34E2" w:rsidP="000F623D">
      <w:pPr>
        <w:pStyle w:val="NormalnyWeb"/>
        <w:jc w:val="both"/>
      </w:pPr>
      <w:r>
        <w:t xml:space="preserve">Ponadto z </w:t>
      </w:r>
      <w:r w:rsidR="00654C46">
        <w:t xml:space="preserve">analizy </w:t>
      </w:r>
      <w:r w:rsidR="000537B4">
        <w:t>p</w:t>
      </w:r>
      <w:r>
        <w:t>rzeprowadzonej wśród miast z tej samej grupy porów</w:t>
      </w:r>
      <w:r w:rsidR="0067342B">
        <w:t xml:space="preserve">nawczej co Miasto Stalowa Wola </w:t>
      </w:r>
      <w:r>
        <w:t>wynika</w:t>
      </w:r>
      <w:r w:rsidR="0067342B">
        <w:t>,</w:t>
      </w:r>
      <w:r>
        <w:t xml:space="preserve"> że nadal </w:t>
      </w:r>
      <w:r w:rsidR="0067342B">
        <w:t xml:space="preserve">jesteśmy </w:t>
      </w:r>
      <w:r>
        <w:t>miastem z jednymi z n</w:t>
      </w:r>
      <w:r w:rsidR="0067342B">
        <w:t>iższych</w:t>
      </w:r>
      <w:r>
        <w:t xml:space="preserve"> staw</w:t>
      </w:r>
      <w:r w:rsidR="000537B4">
        <w:t>e</w:t>
      </w:r>
      <w:r>
        <w:t>k podatkowy</w:t>
      </w:r>
      <w:r w:rsidR="000537B4">
        <w:t>ch ustalonych</w:t>
      </w:r>
      <w:r>
        <w:t xml:space="preserve"> dla działalności gospodarczej. Natomiast jeżeli chodzi o podatek od nieruchomości dla mieszkańców nie</w:t>
      </w:r>
      <w:r w:rsidR="0067342B">
        <w:t xml:space="preserve"> </w:t>
      </w:r>
      <w:r>
        <w:t xml:space="preserve">prowadzących działalności gospodarczej, </w:t>
      </w:r>
      <w:r w:rsidR="0067342B">
        <w:t>stawki podatkowe utrzymują się na najniższym poziomie.</w:t>
      </w:r>
      <w:r w:rsidR="00031891">
        <w:t xml:space="preserve"> </w:t>
      </w:r>
    </w:p>
    <w:p w14:paraId="15D836F0" w14:textId="77777777" w:rsidR="00EC3751" w:rsidRDefault="00EC3751" w:rsidP="00EC3751">
      <w:pPr>
        <w:pStyle w:val="NormalnyWeb"/>
        <w:jc w:val="both"/>
      </w:pPr>
      <w:r>
        <w:t>Mając na uwadze fakt, że wpływy z podatków stanowią ważne źródło zabezpieczenia realizacji podstawowych zadań własnych gminy, zaproponowana regulacja stawek podatkowych jest konieczna i uzasadniona.</w:t>
      </w:r>
    </w:p>
    <w:p w14:paraId="18998C2D" w14:textId="77777777" w:rsidR="00EC3751" w:rsidRDefault="00EC3751" w:rsidP="000F623D">
      <w:pPr>
        <w:pStyle w:val="NormalnyWeb"/>
        <w:jc w:val="both"/>
      </w:pPr>
      <w:bookmarkStart w:id="0" w:name="_GoBack"/>
      <w:bookmarkEnd w:id="0"/>
    </w:p>
    <w:p w14:paraId="55A36AAB" w14:textId="77777777" w:rsidR="00EC3751" w:rsidRDefault="00EC3751" w:rsidP="000F623D">
      <w:pPr>
        <w:pStyle w:val="NormalnyWeb"/>
        <w:jc w:val="both"/>
      </w:pPr>
    </w:p>
    <w:sectPr w:rsidR="00EC3751" w:rsidSect="002A12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D7"/>
    <w:rsid w:val="00031891"/>
    <w:rsid w:val="000537B4"/>
    <w:rsid w:val="000F623D"/>
    <w:rsid w:val="002A1202"/>
    <w:rsid w:val="002C34E2"/>
    <w:rsid w:val="00331644"/>
    <w:rsid w:val="003D2762"/>
    <w:rsid w:val="00513BC6"/>
    <w:rsid w:val="00520504"/>
    <w:rsid w:val="005760AA"/>
    <w:rsid w:val="005963F8"/>
    <w:rsid w:val="005A4E38"/>
    <w:rsid w:val="00654C46"/>
    <w:rsid w:val="006630E8"/>
    <w:rsid w:val="0067342B"/>
    <w:rsid w:val="0069442A"/>
    <w:rsid w:val="006E3FE0"/>
    <w:rsid w:val="007B7CD7"/>
    <w:rsid w:val="007D2DD7"/>
    <w:rsid w:val="00AF2529"/>
    <w:rsid w:val="00B635F1"/>
    <w:rsid w:val="00B77F5E"/>
    <w:rsid w:val="00D94040"/>
    <w:rsid w:val="00EC3751"/>
    <w:rsid w:val="00F1471A"/>
    <w:rsid w:val="00F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353A"/>
  <w15:chartTrackingRefBased/>
  <w15:docId w15:val="{41B1C722-16DB-401B-8693-DE97B91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Szkolak</dc:creator>
  <cp:keywords/>
  <dc:description/>
  <cp:lastModifiedBy>Marta Szkolak</cp:lastModifiedBy>
  <cp:revision>4</cp:revision>
  <cp:lastPrinted>2022-11-22T13:12:00Z</cp:lastPrinted>
  <dcterms:created xsi:type="dcterms:W3CDTF">2022-11-25T13:34:00Z</dcterms:created>
  <dcterms:modified xsi:type="dcterms:W3CDTF">2022-11-28T07:05:00Z</dcterms:modified>
</cp:coreProperties>
</file>