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B9" w:rsidRPr="00A84A27" w:rsidRDefault="00CC7CB9" w:rsidP="00CC7CB9">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Projekt uchwały</w:t>
      </w:r>
    </w:p>
    <w:p w:rsidR="00CC7CB9" w:rsidRPr="00A84A27" w:rsidRDefault="00CC7CB9" w:rsidP="00CC7CB9">
      <w:pPr>
        <w:spacing w:after="0" w:line="360" w:lineRule="auto"/>
        <w:jc w:val="center"/>
        <w:rPr>
          <w:rFonts w:ascii="Times New Roman" w:hAnsi="Times New Roman" w:cs="Times New Roman"/>
          <w:i/>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 xml:space="preserve">UCHWAŁA Nr </w:t>
      </w:r>
      <w:r>
        <w:rPr>
          <w:rFonts w:ascii="Times New Roman" w:hAnsi="Times New Roman" w:cs="Times New Roman"/>
          <w:b/>
          <w:sz w:val="24"/>
          <w:szCs w:val="24"/>
        </w:rPr>
        <w:t>…………….</w:t>
      </w: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RADY MIEJSKIEJ W STALOWEJ WOLI</w:t>
      </w: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 xml:space="preserve">z dnia </w:t>
      </w:r>
      <w:r>
        <w:rPr>
          <w:rFonts w:ascii="Times New Roman" w:hAnsi="Times New Roman" w:cs="Times New Roman"/>
          <w:b/>
          <w:sz w:val="24"/>
          <w:szCs w:val="24"/>
        </w:rPr>
        <w:t>……………….. 2023</w:t>
      </w:r>
      <w:r w:rsidRPr="00A84A27">
        <w:rPr>
          <w:rFonts w:ascii="Times New Roman" w:hAnsi="Times New Roman" w:cs="Times New Roman"/>
          <w:b/>
          <w:sz w:val="24"/>
          <w:szCs w:val="24"/>
        </w:rPr>
        <w:t xml:space="preserve"> r.</w:t>
      </w:r>
    </w:p>
    <w:p w:rsidR="00CC7CB9" w:rsidRPr="00A84A27" w:rsidRDefault="00CC7CB9" w:rsidP="00CC7CB9">
      <w:pPr>
        <w:spacing w:after="0" w:line="360" w:lineRule="auto"/>
        <w:rPr>
          <w:rFonts w:ascii="Times New Roman" w:hAnsi="Times New Roman" w:cs="Times New Roman"/>
          <w:b/>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w sprawie udzielenia opinii o lokalizacji kasyna gry</w:t>
      </w:r>
    </w:p>
    <w:p w:rsidR="00CC7CB9" w:rsidRPr="00A84A27" w:rsidRDefault="00CC7CB9" w:rsidP="00CC7CB9">
      <w:pPr>
        <w:spacing w:after="0" w:line="360" w:lineRule="auto"/>
        <w:rPr>
          <w:rFonts w:ascii="Times New Roman" w:hAnsi="Times New Roman" w:cs="Times New Roman"/>
          <w:b/>
          <w:sz w:val="24"/>
          <w:szCs w:val="24"/>
        </w:rPr>
      </w:pPr>
    </w:p>
    <w:p w:rsidR="00CC7CB9" w:rsidRPr="00A84A27" w:rsidRDefault="00CC7CB9" w:rsidP="00CC7CB9">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Na podstawie art. 18 ust. 2 pkt 15 ustawy z dnia 8 marca 1990 r. o sa</w:t>
      </w:r>
      <w:r>
        <w:rPr>
          <w:rFonts w:ascii="Times New Roman" w:hAnsi="Times New Roman" w:cs="Times New Roman"/>
          <w:sz w:val="24"/>
          <w:szCs w:val="24"/>
        </w:rPr>
        <w:t>morządzie gminnym (Dz. U. z 2023</w:t>
      </w:r>
      <w:r w:rsidRPr="00A84A27">
        <w:rPr>
          <w:rFonts w:ascii="Times New Roman" w:hAnsi="Times New Roman" w:cs="Times New Roman"/>
          <w:sz w:val="24"/>
          <w:szCs w:val="24"/>
        </w:rPr>
        <w:t xml:space="preserve"> r. poz. </w:t>
      </w:r>
      <w:r>
        <w:rPr>
          <w:rFonts w:ascii="Times New Roman" w:hAnsi="Times New Roman" w:cs="Times New Roman"/>
          <w:sz w:val="24"/>
          <w:szCs w:val="24"/>
        </w:rPr>
        <w:t>40 t. j.</w:t>
      </w:r>
      <w:r w:rsidRPr="00A84A27">
        <w:rPr>
          <w:rFonts w:ascii="Times New Roman" w:hAnsi="Times New Roman" w:cs="Times New Roman"/>
          <w:sz w:val="24"/>
          <w:szCs w:val="24"/>
        </w:rPr>
        <w:t xml:space="preserve">) w związku z art. 35 pkt 15 ustawy z dnia 19 listopada 2009 r. o </w:t>
      </w:r>
      <w:r>
        <w:rPr>
          <w:rFonts w:ascii="Times New Roman" w:hAnsi="Times New Roman" w:cs="Times New Roman"/>
          <w:sz w:val="24"/>
          <w:szCs w:val="24"/>
        </w:rPr>
        <w:t>grach hazardowych (Dz. U. z 2023 r. poz. 227 t. j.</w:t>
      </w:r>
      <w:r w:rsidRPr="00A84A27">
        <w:rPr>
          <w:rFonts w:ascii="Times New Roman" w:hAnsi="Times New Roman" w:cs="Times New Roman"/>
          <w:sz w:val="24"/>
          <w:szCs w:val="24"/>
        </w:rPr>
        <w:t>)</w:t>
      </w:r>
    </w:p>
    <w:p w:rsidR="00CC7CB9" w:rsidRPr="00A84A27" w:rsidRDefault="00CC7CB9" w:rsidP="00CC7CB9">
      <w:pPr>
        <w:spacing w:after="0" w:line="360" w:lineRule="auto"/>
        <w:jc w:val="center"/>
        <w:rPr>
          <w:rFonts w:ascii="Times New Roman" w:hAnsi="Times New Roman" w:cs="Times New Roman"/>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uchwala się, co następuje:</w:t>
      </w:r>
    </w:p>
    <w:p w:rsidR="00CC7CB9" w:rsidRPr="00A84A27" w:rsidRDefault="00CC7CB9" w:rsidP="00CC7CB9">
      <w:pPr>
        <w:spacing w:after="0" w:line="360" w:lineRule="auto"/>
        <w:jc w:val="center"/>
        <w:rPr>
          <w:rFonts w:ascii="Times New Roman" w:hAnsi="Times New Roman" w:cs="Times New Roman"/>
          <w:b/>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§1</w:t>
      </w:r>
    </w:p>
    <w:p w:rsidR="00CC7CB9" w:rsidRPr="00A84A27" w:rsidRDefault="00CC7CB9" w:rsidP="00CC7CB9">
      <w:pPr>
        <w:spacing w:after="0" w:line="360" w:lineRule="auto"/>
        <w:jc w:val="center"/>
        <w:rPr>
          <w:rFonts w:ascii="Times New Roman" w:hAnsi="Times New Roman" w:cs="Times New Roman"/>
          <w:b/>
          <w:sz w:val="24"/>
          <w:szCs w:val="24"/>
        </w:rPr>
      </w:pPr>
    </w:p>
    <w:p w:rsidR="00CC7CB9" w:rsidRPr="00A84A27" w:rsidRDefault="00CC7CB9" w:rsidP="00CC7CB9">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 xml:space="preserve">udziela się spółce </w:t>
      </w:r>
      <w:r>
        <w:rPr>
          <w:rFonts w:ascii="Times New Roman" w:hAnsi="Times New Roman" w:cs="Times New Roman"/>
          <w:sz w:val="24"/>
          <w:szCs w:val="24"/>
        </w:rPr>
        <w:t>NOVOBET</w:t>
      </w:r>
      <w:r w:rsidRPr="00A84A27">
        <w:rPr>
          <w:rFonts w:ascii="Times New Roman" w:hAnsi="Times New Roman" w:cs="Times New Roman"/>
          <w:sz w:val="24"/>
          <w:szCs w:val="24"/>
        </w:rPr>
        <w:t xml:space="preserve"> Sp. z o.o. z siedzibą w </w:t>
      </w:r>
      <w:r>
        <w:rPr>
          <w:rFonts w:ascii="Times New Roman" w:hAnsi="Times New Roman" w:cs="Times New Roman"/>
          <w:sz w:val="24"/>
          <w:szCs w:val="24"/>
        </w:rPr>
        <w:t>Zabierzo</w:t>
      </w:r>
      <w:r>
        <w:rPr>
          <w:rFonts w:ascii="Times New Roman" w:hAnsi="Times New Roman" w:cs="Times New Roman"/>
          <w:sz w:val="24"/>
          <w:szCs w:val="24"/>
        </w:rPr>
        <w:t>wie ul. Krakowska 368</w:t>
      </w:r>
      <w:r w:rsidRPr="00A84A27">
        <w:rPr>
          <w:rFonts w:ascii="Times New Roman" w:hAnsi="Times New Roman" w:cs="Times New Roman"/>
          <w:sz w:val="24"/>
          <w:szCs w:val="24"/>
        </w:rPr>
        <w:t>, wpisanej do Rejestru Przedsiębiorców Krajowego Rejestr</w:t>
      </w:r>
      <w:r>
        <w:rPr>
          <w:rFonts w:ascii="Times New Roman" w:hAnsi="Times New Roman" w:cs="Times New Roman"/>
          <w:sz w:val="24"/>
          <w:szCs w:val="24"/>
        </w:rPr>
        <w:t>u Sądowego pod numerem KRS: 0001009955</w:t>
      </w:r>
      <w:r w:rsidRPr="00A84A27">
        <w:rPr>
          <w:rFonts w:ascii="Times New Roman" w:hAnsi="Times New Roman" w:cs="Times New Roman"/>
          <w:sz w:val="24"/>
          <w:szCs w:val="24"/>
        </w:rPr>
        <w:t xml:space="preserve">, pozytywnej opinii na lokalizację Kasyna Gry w Stalowej </w:t>
      </w:r>
      <w:r>
        <w:rPr>
          <w:rFonts w:ascii="Times New Roman" w:hAnsi="Times New Roman" w:cs="Times New Roman"/>
          <w:sz w:val="24"/>
          <w:szCs w:val="24"/>
        </w:rPr>
        <w:t xml:space="preserve">Woli, przy ul. Ks. Prymasa Stefana Wyszyńskiego 12, </w:t>
      </w:r>
      <w:r w:rsidRPr="00A84A27">
        <w:rPr>
          <w:rFonts w:ascii="Times New Roman" w:hAnsi="Times New Roman" w:cs="Times New Roman"/>
          <w:sz w:val="24"/>
          <w:szCs w:val="24"/>
        </w:rPr>
        <w:t>37-450 Stalowa Wola</w:t>
      </w:r>
      <w:r>
        <w:rPr>
          <w:rFonts w:ascii="Times New Roman" w:hAnsi="Times New Roman" w:cs="Times New Roman"/>
          <w:sz w:val="24"/>
          <w:szCs w:val="24"/>
        </w:rPr>
        <w:t xml:space="preserve"> (HOTEL ***Hutnik</w:t>
      </w:r>
      <w:bookmarkStart w:id="0" w:name="_GoBack"/>
      <w:bookmarkEnd w:id="0"/>
      <w:r>
        <w:rPr>
          <w:rFonts w:ascii="Times New Roman" w:hAnsi="Times New Roman" w:cs="Times New Roman"/>
          <w:sz w:val="24"/>
          <w:szCs w:val="24"/>
        </w:rPr>
        <w:t>)</w:t>
      </w:r>
      <w:r w:rsidRPr="00A84A27">
        <w:rPr>
          <w:rFonts w:ascii="Times New Roman" w:hAnsi="Times New Roman" w:cs="Times New Roman"/>
          <w:sz w:val="24"/>
          <w:szCs w:val="24"/>
        </w:rPr>
        <w:t>.</w:t>
      </w:r>
    </w:p>
    <w:p w:rsidR="00CC7CB9" w:rsidRPr="00A84A27" w:rsidRDefault="00CC7CB9" w:rsidP="00CC7CB9">
      <w:pPr>
        <w:spacing w:after="0" w:line="360" w:lineRule="auto"/>
        <w:jc w:val="center"/>
        <w:rPr>
          <w:rFonts w:ascii="Times New Roman" w:hAnsi="Times New Roman" w:cs="Times New Roman"/>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§2</w:t>
      </w:r>
    </w:p>
    <w:p w:rsidR="00CC7CB9" w:rsidRPr="00A84A27" w:rsidRDefault="00CC7CB9" w:rsidP="00CC7CB9">
      <w:pPr>
        <w:spacing w:after="0" w:line="360" w:lineRule="auto"/>
        <w:jc w:val="center"/>
        <w:rPr>
          <w:rFonts w:ascii="Times New Roman" w:hAnsi="Times New Roman" w:cs="Times New Roman"/>
          <w:sz w:val="24"/>
          <w:szCs w:val="24"/>
        </w:rPr>
      </w:pPr>
    </w:p>
    <w:p w:rsidR="00CC7CB9" w:rsidRPr="00A84A27" w:rsidRDefault="00CC7CB9" w:rsidP="00CC7CB9">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Wykonanie uchwały powierza się Prezydentowi Miasta Stalowej Woli.</w:t>
      </w:r>
    </w:p>
    <w:p w:rsidR="00CC7CB9" w:rsidRPr="00A84A27" w:rsidRDefault="00CC7CB9" w:rsidP="00CC7CB9">
      <w:pPr>
        <w:spacing w:after="0" w:line="360" w:lineRule="auto"/>
        <w:jc w:val="center"/>
        <w:rPr>
          <w:rFonts w:ascii="Times New Roman" w:hAnsi="Times New Roman" w:cs="Times New Roman"/>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§3</w:t>
      </w:r>
    </w:p>
    <w:p w:rsidR="00CC7CB9" w:rsidRPr="00A84A27" w:rsidRDefault="00CC7CB9" w:rsidP="00CC7CB9">
      <w:pPr>
        <w:spacing w:after="0" w:line="360" w:lineRule="auto"/>
        <w:jc w:val="center"/>
        <w:rPr>
          <w:rFonts w:ascii="Times New Roman" w:hAnsi="Times New Roman" w:cs="Times New Roman"/>
          <w:sz w:val="24"/>
          <w:szCs w:val="24"/>
        </w:rPr>
      </w:pPr>
    </w:p>
    <w:p w:rsidR="00CC7CB9" w:rsidRPr="00A84A27" w:rsidRDefault="00CC7CB9" w:rsidP="00CC7CB9">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Uchwała wchodzi w życie z dniem podjęcia i podlega ogłoszeniu na tablicy ogłoszeń Urzędu Miasta Stalowej Woli.</w:t>
      </w:r>
    </w:p>
    <w:p w:rsidR="00CC7CB9" w:rsidRPr="00A84A27" w:rsidRDefault="00CC7CB9" w:rsidP="00CC7CB9">
      <w:pPr>
        <w:spacing w:after="0" w:line="360" w:lineRule="auto"/>
        <w:jc w:val="both"/>
        <w:rPr>
          <w:rFonts w:ascii="Times New Roman" w:hAnsi="Times New Roman" w:cs="Times New Roman"/>
          <w:sz w:val="24"/>
          <w:szCs w:val="24"/>
        </w:rPr>
      </w:pPr>
    </w:p>
    <w:p w:rsidR="00CC7CB9" w:rsidRPr="00A84A27" w:rsidRDefault="00CC7CB9" w:rsidP="00CC7CB9">
      <w:pPr>
        <w:spacing w:after="0" w:line="360" w:lineRule="auto"/>
        <w:jc w:val="center"/>
        <w:rPr>
          <w:rFonts w:ascii="Times New Roman" w:hAnsi="Times New Roman" w:cs="Times New Roman"/>
          <w:sz w:val="24"/>
          <w:szCs w:val="24"/>
        </w:rPr>
      </w:pPr>
    </w:p>
    <w:p w:rsidR="00CC7CB9" w:rsidRPr="00A84A27" w:rsidRDefault="00CC7CB9" w:rsidP="00CC7CB9">
      <w:pPr>
        <w:spacing w:after="0" w:line="360" w:lineRule="auto"/>
        <w:rPr>
          <w:rFonts w:ascii="Times New Roman" w:hAnsi="Times New Roman" w:cs="Times New Roman"/>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p>
    <w:p w:rsidR="00CC7CB9" w:rsidRPr="00A84A27" w:rsidRDefault="00CC7CB9" w:rsidP="00CC7CB9">
      <w:pPr>
        <w:spacing w:after="0" w:line="360" w:lineRule="auto"/>
        <w:jc w:val="center"/>
        <w:rPr>
          <w:rFonts w:ascii="Times New Roman" w:hAnsi="Times New Roman" w:cs="Times New Roman"/>
          <w:b/>
          <w:sz w:val="24"/>
          <w:szCs w:val="24"/>
        </w:rPr>
      </w:pPr>
    </w:p>
    <w:p w:rsidR="00CC7CB9" w:rsidRPr="00C9294B" w:rsidRDefault="00CC7CB9" w:rsidP="00CC7CB9">
      <w:pPr>
        <w:spacing w:after="0" w:line="360" w:lineRule="auto"/>
        <w:jc w:val="center"/>
        <w:rPr>
          <w:rFonts w:ascii="Times New Roman" w:hAnsi="Times New Roman" w:cs="Times New Roman"/>
          <w:b/>
          <w:color w:val="000000" w:themeColor="text1"/>
          <w:sz w:val="24"/>
          <w:szCs w:val="24"/>
        </w:rPr>
      </w:pPr>
      <w:r w:rsidRPr="00C9294B">
        <w:rPr>
          <w:rFonts w:ascii="Times New Roman" w:hAnsi="Times New Roman" w:cs="Times New Roman"/>
          <w:b/>
          <w:color w:val="000000" w:themeColor="text1"/>
          <w:sz w:val="24"/>
          <w:szCs w:val="24"/>
        </w:rPr>
        <w:lastRenderedPageBreak/>
        <w:t>UZASADNIENIE</w:t>
      </w:r>
    </w:p>
    <w:p w:rsidR="00CC7CB9" w:rsidRPr="00C9294B" w:rsidRDefault="00CC7CB9" w:rsidP="00CC7CB9">
      <w:pPr>
        <w:spacing w:after="0" w:line="360" w:lineRule="auto"/>
        <w:jc w:val="center"/>
        <w:rPr>
          <w:rFonts w:ascii="Times New Roman" w:hAnsi="Times New Roman" w:cs="Times New Roman"/>
          <w:color w:val="000000" w:themeColor="text1"/>
          <w:sz w:val="24"/>
          <w:szCs w:val="24"/>
        </w:rPr>
      </w:pPr>
    </w:p>
    <w:p w:rsidR="00CC7CB9" w:rsidRPr="00C9294B" w:rsidRDefault="00CC7CB9" w:rsidP="00CC7CB9">
      <w:pPr>
        <w:spacing w:before="100" w:beforeAutospacing="1" w:after="100" w:afterAutospacing="1" w:line="360" w:lineRule="auto"/>
        <w:ind w:firstLine="70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ab/>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 </w:t>
      </w:r>
    </w:p>
    <w:p w:rsidR="00CC7CB9" w:rsidRPr="00C9294B" w:rsidRDefault="00CC7CB9" w:rsidP="00CC7CB9">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 </w:t>
      </w:r>
    </w:p>
    <w:p w:rsidR="00CC7CB9" w:rsidRPr="00C9294B" w:rsidRDefault="00CC7CB9" w:rsidP="00CC7CB9">
      <w:pPr>
        <w:spacing w:before="100" w:beforeAutospacing="1" w:after="100" w:afterAutospacing="1" w:line="360" w:lineRule="auto"/>
        <w:ind w:firstLine="22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 xml:space="preserve">    Uprawnienie rady gminy sprowadza się do wydania opinii o lokalizacji kasyna gry, </w:t>
      </w:r>
      <w:r w:rsidRPr="00C9294B">
        <w:rPr>
          <w:rFonts w:ascii="Times New Roman" w:eastAsia="Times New Roman" w:hAnsi="Times New Roman" w:cs="Times New Roman"/>
          <w:color w:val="000000" w:themeColor="text1"/>
          <w:sz w:val="24"/>
          <w:szCs w:val="24"/>
          <w:lang w:eastAsia="pl-PL"/>
        </w:rPr>
        <w:b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zasadności, czy też celowości prowadzenia takiego typu działalności na terenie gminy. </w:t>
      </w:r>
    </w:p>
    <w:p w:rsidR="00CC7CB9" w:rsidRPr="00C9294B" w:rsidRDefault="00CC7CB9" w:rsidP="00CC7CB9">
      <w:pPr>
        <w:spacing w:before="100" w:beforeAutospacing="1" w:after="100" w:afterAutospacing="1" w:line="360" w:lineRule="auto"/>
        <w:ind w:firstLine="22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 xml:space="preserve">    Przedmiotowa opinia jest niezbędnym załącznikiem do wniosku o udzielenie koncesji na prowadzenie kasyna gry, składanego do Ministra Finansów. </w:t>
      </w:r>
    </w:p>
    <w:p w:rsidR="00CC7CB9" w:rsidRPr="00C9294B" w:rsidRDefault="00CC7CB9" w:rsidP="00CC7CB9">
      <w:pPr>
        <w:spacing w:before="100" w:beforeAutospacing="1" w:after="100" w:afterAutospacing="1" w:line="360" w:lineRule="auto"/>
        <w:ind w:firstLine="22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 </w:t>
      </w:r>
    </w:p>
    <w:p w:rsidR="00CC7CB9" w:rsidRDefault="00CC7CB9" w:rsidP="00CC7CB9"/>
    <w:p w:rsidR="0088255D" w:rsidRDefault="00CC7CB9"/>
    <w:sectPr w:rsidR="0088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9E"/>
    <w:rsid w:val="000E64B0"/>
    <w:rsid w:val="00472E91"/>
    <w:rsid w:val="00497F7F"/>
    <w:rsid w:val="005430EB"/>
    <w:rsid w:val="008059B3"/>
    <w:rsid w:val="00856AFC"/>
    <w:rsid w:val="008A019E"/>
    <w:rsid w:val="00AB192E"/>
    <w:rsid w:val="00CC7CB9"/>
    <w:rsid w:val="00ED5184"/>
    <w:rsid w:val="00F95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8ADE5-4B94-47B8-A6D8-BCE2AF51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C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7C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2507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Ryń</dc:creator>
  <cp:keywords/>
  <dc:description/>
  <cp:lastModifiedBy>Dorota Ryń</cp:lastModifiedBy>
  <cp:revision>2</cp:revision>
  <cp:lastPrinted>2023-02-03T09:32:00Z</cp:lastPrinted>
  <dcterms:created xsi:type="dcterms:W3CDTF">2023-02-03T09:26:00Z</dcterms:created>
  <dcterms:modified xsi:type="dcterms:W3CDTF">2023-02-03T09:32:00Z</dcterms:modified>
</cp:coreProperties>
</file>