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D8BC3" w14:textId="44484CF4" w:rsidR="0003601A" w:rsidRPr="0003601A" w:rsidRDefault="0003601A" w:rsidP="0003601A">
      <w:pPr>
        <w:tabs>
          <w:tab w:val="left" w:pos="5655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01A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2FE018D7" w14:textId="77777777" w:rsidR="0003601A" w:rsidRDefault="0003601A" w:rsidP="0003601A">
      <w:pPr>
        <w:tabs>
          <w:tab w:val="left" w:pos="5655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57A503" w14:textId="792D0AA6" w:rsidR="0003601A" w:rsidRDefault="0003601A" w:rsidP="004F6A70">
      <w:pPr>
        <w:tabs>
          <w:tab w:val="left" w:pos="56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obowiązującą uchwałą Rady Miejskiej Nr LXI/803/2023 z dnia 15 lutego 2023r.</w:t>
      </w:r>
      <w:r w:rsidR="00F20C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sprawie podwyższenia kryterium dochodowego do 200% umożliwiającego  korzystanie z pomocy społecznej przez osoby objęte rządowym programem „Posiłek w szkole i w domu” na lata 2019-2013 -nieodpłatnie, istnieje konieczność zmiany powyższej uchwały w zakresie § 3 ust.1 ze 150% na 200 %.</w:t>
      </w:r>
    </w:p>
    <w:p w14:paraId="455D74FD" w14:textId="77777777" w:rsidR="000E1DB6" w:rsidRDefault="000E1DB6" w:rsidP="004F6A70"/>
    <w:sectPr w:rsidR="000E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0418"/>
    <w:rsid w:val="0003601A"/>
    <w:rsid w:val="000E1DB6"/>
    <w:rsid w:val="004F6A70"/>
    <w:rsid w:val="005D0418"/>
    <w:rsid w:val="00D976A6"/>
    <w:rsid w:val="00F20CB6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08F4"/>
  <w15:chartTrackingRefBased/>
  <w15:docId w15:val="{C996394D-4AB4-46B1-AFA9-B00AA3E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01A"/>
    <w:pPr>
      <w:suppressAutoHyphens/>
      <w:spacing w:after="0" w:line="360" w:lineRule="auto"/>
      <w:ind w:firstLine="709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Mielniczuk Anna</dc:creator>
  <cp:keywords/>
  <dc:description/>
  <cp:lastModifiedBy>Aniela Kutyla</cp:lastModifiedBy>
  <cp:revision>6</cp:revision>
  <dcterms:created xsi:type="dcterms:W3CDTF">2023-05-05T13:55:00Z</dcterms:created>
  <dcterms:modified xsi:type="dcterms:W3CDTF">2023-05-11T11:30:00Z</dcterms:modified>
</cp:coreProperties>
</file>