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  <w:r>
        <w:rPr>
          <w:rFonts w:ascii="Times New Roman" w:eastAsia="Times New Roman" w:hAnsi="Times New Roman" w:cs="Times New Roman"/>
          <w:b/>
          <w:i/>
          <w:sz w:val="20"/>
          <w:u w:val="thick"/>
        </w:rPr>
        <w:t>Projekt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</w:p>
    <w:p>
      <w:pPr>
        <w:spacing w:before="0" w:after="0"/>
        <w:ind w:left="5669" w:right="0"/>
        <w:jc w:val="left"/>
      </w:pPr>
    </w:p>
    <w:p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>
      <w:pPr>
        <w:spacing w:before="280" w:after="280" w:line="240" w:lineRule="auto"/>
        <w:ind w:left="0" w:righ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 2023 r.</w:t>
      </w:r>
    </w:p>
    <w:p>
      <w:pPr>
        <w:keepNext/>
        <w:spacing w:before="0" w:after="48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określenia przystanków komunikacyjnych, których właścicielem lub zarządzającym jest Gmina Stalowa Wola, udostępnionych dla operatorów i  przewoźników oraz warunków i zasad korzystania z tych obiektów</w:t>
      </w:r>
    </w:p>
    <w:p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1 i ust. 2 pkt. 15, art. 40 ust. 1 i ust. 2 pkt. 4 ustawy z dnia 8 marca 1990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samorządzie gminnym (tekst jedn. Dz. U. z 2023 r., poz. 40 ze zm.) oraz art. 15 ust. 1 pkt 6 i ust. 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 dnia 16 grudnia 2010 r. o publicznym transporcie zbiorowym (tekst jedn. Dz. U. z 2022 r., poz. 1343 ze zm.) oraz art. 4 ust. 1 i art. 5 ustawy z dnia 20 lipca 2000 r. o ogłaszaniu aktów normatywnych i niektórych innych aktów prawnych (Dz.U. z 2019 r. poz. 1461)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 się, co następuje: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p>
      <w:pPr>
        <w:keepNext w:val="0"/>
        <w:keepLines/>
        <w:spacing w:before="120" w:after="24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X/118/2019 Rady Miejskiej w Stalowej Woli z dnia 31 maja 2019 r. w sprawie określenia przystanków komunikacyjnych, których właścicielem lub zarządzającym jest Gmina Stalowa Wola, udostępnionych dla operatorów i przewoźników oraz warunków i zasad korzystania z tych obiektów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 Urz. Woj. Podkarpackiego z 2019 r. poz. 3203), zmienionej Uchwałami Rady Miejskiej w Stalowej Woli:  Nr XXI/236/2019 z dnia 30 grudnia 2019 r., Nr XXIV/248/2020 z dnia 13 marca 2020 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XLI/481/2021 z dnia 30 czerwca 2021 r., Nr L/599/2022 z dnia 31 marca 2022 r. wprowadza się następujące zmiany: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§1:</w:t>
      </w:r>
    </w:p>
    <w:p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 5 otrzymuje brzmienie:</w:t>
      </w:r>
    </w:p>
    <w:p>
      <w:pPr>
        <w:keepNext w:val="0"/>
        <w:keepLines/>
        <w:spacing w:before="120" w:after="24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Przystanki komunikacyjne nie wymienione w załącznikach Nr 1, 2 i 3 do uchwały, a udostępnione przewoźnikom przed jej wejściem w życie, udostępnia się do czasu zmiany lub wygaśnięcia zezwolenia na wykonywanie regularnych przewozów osób w krajowym transporcie drogowym wydanego zgodnie z ustawą z dnia 6 września 2001 r. o transporcie drogowym (tekst jedn. Dz. 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2022 poz. 2201 ze zm.), z zastrzeżeniem ust. 6, jednak nie dłużej niż do dnia 31 grudnia 2023 r.</w:t>
      </w:r>
      <w:r>
        <w:rPr>
          <w:b w:val="0"/>
          <w:i w:val="0"/>
          <w:u w:val="none"/>
        </w:rPr>
        <w:t>”</w:t>
      </w:r>
      <w:r>
        <w:t>,</w:t>
      </w:r>
    </w:p>
    <w:p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 6 otrzymuje brzmienie:</w:t>
      </w:r>
    </w:p>
    <w:p>
      <w:pPr>
        <w:keepNext w:val="0"/>
        <w:keepLines/>
        <w:spacing w:before="120" w:after="24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Przystanki, o których mowa w ust. 5 udostępnia się przewoźnikom także w sytuacji gdy zmiana lub wygaśnięcie zezwolenia na wykonywanie regularnych przewozów osób w krajowym transporcie drogowym wynika z konieczności dostosowania się przewoźnika do wprowadzanych przez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Gminę Stalowa Wola zmian dotyczących organizacji ruchu na terenie gminy (w szczególności remontów), zmian wynikających ze zniesienia stanu zagrożenia epidemicznego lub zmian w zakresie dotychczas udostępnianych przystanków.</w:t>
      </w:r>
      <w:r>
        <w:rPr>
          <w:b w:val="0"/>
          <w:i w:val="0"/>
          <w:u w:val="none"/>
        </w:rPr>
        <w:t>”</w:t>
      </w:r>
      <w:r>
        <w:t>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§3 ust. 2 otrzymuje brzmienie:</w:t>
      </w:r>
    </w:p>
    <w:p>
      <w:pPr>
        <w:keepNext w:val="0"/>
        <w:keepLines/>
        <w:spacing w:before="120" w:after="24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korzystanie przez operatorów i przewoźników z przystanków komunikacyjnych są pobierane opłaty zgodnie z uchwałą Rady Miejskiej w Stalowej Woli Nr XII/172/11 z dnia 30 czerwca 2011 r., zmienionej uchwałą Rady Miejskiej w Stalowej Woli Nr LXIX/988/14 z dnia 29 września 2014 r., zmienionej uchwałą Rady Miejskiej w Stalowej Woli Nr XLIII/491/2021 z dnia 21 września 2021 r.</w:t>
      </w:r>
      <w:r>
        <w:rPr>
          <w:b w:val="0"/>
          <w:i w:val="0"/>
          <w:u w:val="none"/>
        </w:rPr>
        <w:t>”</w:t>
      </w:r>
      <w:r>
        <w:t>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 Nr 1, 2, 3 i 4 do Uchwały przyjmują brzmienie jak Załączniki Nr 1, 2, 3 i 4 do niniejszej Uchwały.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Stalowa Wola.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po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Podkarpackiego,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tym że §1 ust. 6 – z mocą od dnia 01 lipca 2023 r.</w:t>
      </w:r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2023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Zalacznik1.pdf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2023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Zalacznik2.pdf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2023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Zalacznik3.pdf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2023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Zalacznik4.pdf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2023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Zalacznik1.pdf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2023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Zalacznik2.pdf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2023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Zalacznik3.pdf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16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2023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Zalacznik4.pdf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346"/>
        <w:contextualSpacing w:val="0"/>
        <w:jc w:val="both"/>
        <w:rPr>
          <w:szCs w:val="20"/>
        </w:rPr>
      </w:pPr>
      <w:r>
        <w:rPr>
          <w:szCs w:val="20"/>
        </w:rPr>
        <w:t>Projekt niniejszej Uchwały wprowadza zmiany w Uchwale Nr X/118/2019 z dnia 31 maja 2019 r.</w:t>
        <w:br/>
        <w:t>Rady Miejskiej w Stalowej Woli w sprawie określenia przystanków komunikacyjnych, których właścicielem lub zarządzającym jest Gmina Stalowa Wola, udostępnionych dla operatorów i przewoźników oraz warunków</w:t>
        <w:br/>
        <w:t>i zasad korzystania z tych obiektów</w:t>
      </w:r>
      <w:r>
        <w:rPr>
          <w:szCs w:val="20"/>
        </w:rPr>
        <w:t xml:space="preserve"> (</w:t>
      </w:r>
      <w:r>
        <w:rPr>
          <w:szCs w:val="20"/>
        </w:rPr>
        <w:t xml:space="preserve">ostatnia </w:t>
      </w:r>
      <w:r>
        <w:rPr>
          <w:szCs w:val="20"/>
        </w:rPr>
        <w:t>aktualizacja</w:t>
      </w:r>
      <w:r>
        <w:rPr>
          <w:szCs w:val="20"/>
        </w:rPr>
        <w:t xml:space="preserve">: Uchwała Nr L/599/2022 </w:t>
      </w:r>
      <w:r>
        <w:rPr>
          <w:szCs w:val="20"/>
        </w:rPr>
        <w:t>Rady Miejskiej</w:t>
      </w:r>
      <w:r>
        <w:rPr>
          <w:szCs w:val="20"/>
        </w:rPr>
        <w:br/>
      </w:r>
      <w:r>
        <w:rPr>
          <w:szCs w:val="20"/>
        </w:rPr>
        <w:t>w Stalowej Woli</w:t>
      </w:r>
      <w:r>
        <w:rPr>
          <w:szCs w:val="20"/>
        </w:rPr>
        <w:t xml:space="preserve"> </w:t>
      </w:r>
      <w:r>
        <w:rPr>
          <w:szCs w:val="20"/>
        </w:rPr>
        <w:t>z dnia 31 marca 2022 r.</w:t>
      </w:r>
      <w:r>
        <w:rPr>
          <w:szCs w:val="20"/>
        </w:rPr>
        <w:t>)</w:t>
      </w:r>
      <w:r>
        <w:rPr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b/>
          <w:szCs w:val="20"/>
        </w:rPr>
      </w:pPr>
      <w:r>
        <w:rPr>
          <w:b/>
          <w:szCs w:val="20"/>
        </w:rPr>
        <w:t>Przedłużenie ważności zezwoleń na wykonywanie przewozów: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720"/>
        <w:contextualSpacing w:val="0"/>
        <w:jc w:val="both"/>
        <w:rPr>
          <w:szCs w:val="20"/>
        </w:rPr>
      </w:pPr>
      <w:r>
        <w:rPr>
          <w:szCs w:val="20"/>
        </w:rPr>
        <w:t>Zapisy o przedłużeniu ważności uzgodnień na korzystanie z przystanków do 31 grudnia 2023 r. wynikają nowelizacji Ustawy o publicznym transporcie zbiorowym (tekst jedn. Dz. U. z 2022 r., poz. 1343) - art. 78. Na mocy tego artykułu, ważność dotychczasowych zezwoleń na wykonywanie regularnych przewozów osób została przedłużona do 31 grudnia 2023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720"/>
        <w:contextualSpacing w:val="0"/>
        <w:jc w:val="both"/>
        <w:rPr>
          <w:szCs w:val="20"/>
        </w:rPr>
      </w:pPr>
      <w:r>
        <w:rPr>
          <w:szCs w:val="20"/>
        </w:rPr>
        <w:t>W związku z tym, także uzgodnienia zasad korzystania z przystanków wydawane przewoźnikom przez Gminę Stalowa Wola zachowują ważność do 31 grudnia 2023 r. Dotyczy to także uzgodnień dla przystanków udostępnianych obecnie wyłącznie operatorom, ale udzielonych przewoźnikom przed wejściem w życie Uchwały Nr LXIII/912/14, która po raz pierwszy wprowadziła podział przystanków.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b/>
          <w:szCs w:val="20"/>
        </w:rPr>
      </w:pPr>
      <w:r>
        <w:rPr>
          <w:b/>
          <w:szCs w:val="20"/>
        </w:rPr>
        <w:t>Zmiany po zniesieniu stanu zagrożenia epidemicznego: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720"/>
        <w:contextualSpacing w:val="0"/>
        <w:jc w:val="both"/>
        <w:rPr>
          <w:b/>
          <w:szCs w:val="20"/>
        </w:rPr>
      </w:pPr>
      <w:r>
        <w:rPr>
          <w:szCs w:val="20"/>
        </w:rPr>
        <w:t xml:space="preserve">W projekcie Uchwały zmieniono zapisy §1 </w:t>
      </w:r>
      <w:r>
        <w:rPr>
          <w:szCs w:val="20"/>
        </w:rPr>
        <w:t>ust. 6</w:t>
      </w:r>
      <w:r>
        <w:rPr>
          <w:szCs w:val="20"/>
        </w:rPr>
        <w:t>.</w:t>
      </w:r>
      <w:r>
        <w:rPr>
          <w:color w:val="7F7F7F"/>
          <w:szCs w:val="20"/>
        </w:rPr>
        <w:t xml:space="preserve"> </w:t>
      </w:r>
      <w:r>
        <w:rPr>
          <w:szCs w:val="20"/>
        </w:rPr>
        <w:t>Dotyczą one przewoźników, którzy otrzymali prawo do korzystania z przystanków udostępnionych operatorom przed wejściem w życie w/w Uchwały</w:t>
        <w:br/>
        <w:t xml:space="preserve">Nr LXIII/912/14 o podziale przystanków, a musieliby z nich zrezygnować, gdy zachodzi konieczność zmiany zezwolenia nie z własnego wyboru lecz </w:t>
      </w:r>
      <w:r>
        <w:rPr>
          <w:b/>
          <w:szCs w:val="20"/>
        </w:rPr>
        <w:t>ze względu na zmiany wynikające ze zniesienia stanu zagrożenia epidemicznego.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720"/>
        <w:contextualSpacing w:val="0"/>
        <w:jc w:val="both"/>
        <w:rPr>
          <w:szCs w:val="20"/>
        </w:rPr>
      </w:pPr>
      <w:r>
        <w:rPr>
          <w:szCs w:val="20"/>
        </w:rPr>
        <w:t xml:space="preserve">W trakcie pandemii przewoźnicy mogli </w:t>
      </w:r>
      <w:r>
        <w:rPr>
          <w:szCs w:val="20"/>
        </w:rPr>
        <w:t xml:space="preserve">w ramach dotychczasowych zezwoleń </w:t>
      </w:r>
      <w:r>
        <w:rPr>
          <w:szCs w:val="20"/>
        </w:rPr>
        <w:t xml:space="preserve">ograniczać liczbę wykonywanych kursów, natomiast po zniesieniu stanu zagrożenia epidemicznego powinni powrócić do wykonywania rozkładu jazdy sprzed pandemii. </w:t>
      </w:r>
      <w:r>
        <w:rPr>
          <w:szCs w:val="20"/>
        </w:rPr>
        <w:t>Jednak ze względu na utrzymujące się po pandemii niższe zapotrzebowanie na przewozy, powrót do poprzednich rozkładów jazdy jest dla przewoźników nieopłacalny.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  <w:r>
        <w:rPr>
          <w:szCs w:val="20"/>
        </w:rPr>
        <w:t xml:space="preserve">W tej sytuacji, przewoźnicy chcący nadal utrzymać niższą liczbę kursów powinni dokonać procedury zmiany zezwoleń, jednakże </w:t>
      </w:r>
      <w:r>
        <w:rPr>
          <w:szCs w:val="20"/>
        </w:rPr>
        <w:t>przy obecnych zapisach Uchwały jakakolwiek zmiana zezwolenia na wykonywanie przewozów oznaczałaby utratę prawa do korzystania z przystanków uzyskanego przed wejściem w życie Uchwały Nr LXIII/912/14 o podziale przystanków.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  <w:r>
        <w:rPr>
          <w:szCs w:val="20"/>
        </w:rPr>
        <w:t xml:space="preserve">Wprowadzenie </w:t>
      </w:r>
      <w:r>
        <w:rPr>
          <w:szCs w:val="20"/>
        </w:rPr>
        <w:t>proponowanego zapisu Uchwały pozwoli przewoźnikom na dokonanie zmiany zezwoleń, przy utrzymaniu dotychczasowej sieci przystanków. Tym samym nie zostaną naruszone zwyczaje komunikacyjne pasażerów - mieszkańców miasta.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  <w:r>
        <w:rPr>
          <w:szCs w:val="20"/>
        </w:rPr>
        <w:t xml:space="preserve">Ze względu na zgłaszane potrzeby przewoźników, długość okresu koniecznego na uprawomocnienie się niniejszej Uchwały oraz czas trwania procedur zmian zezwoleń przez przewoźników, zapisy </w:t>
      </w:r>
      <w:r>
        <w:rPr>
          <w:szCs w:val="20"/>
        </w:rPr>
        <w:t>§1 ust. 6</w:t>
      </w:r>
      <w:r>
        <w:rPr>
          <w:szCs w:val="20"/>
        </w:rPr>
        <w:t xml:space="preserve"> wprowadza się z mocą od dnia 01 lipca 2023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b/>
          <w:szCs w:val="20"/>
        </w:rPr>
      </w:pPr>
      <w:r>
        <w:rPr>
          <w:b/>
          <w:szCs w:val="20"/>
        </w:rPr>
        <w:t>Zmiana statusu niektórych przystanków: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color w:val="F00000"/>
          <w:szCs w:val="20"/>
        </w:rPr>
      </w:pPr>
      <w:r>
        <w:rPr>
          <w:szCs w:val="20"/>
        </w:rPr>
        <w:t>Zgodnie z ustaleniami Komisji Gospodarki Komunalnej, Geodezji, Architektury i Ochrony Srodowiska z dnia dnia 31.05.2023 r.</w:t>
      </w:r>
      <w:r>
        <w:rPr>
          <w:color w:val="F00000"/>
          <w:szCs w:val="20"/>
        </w:rPr>
        <w:t xml:space="preserve"> </w:t>
      </w:r>
      <w:r>
        <w:rPr>
          <w:szCs w:val="20"/>
        </w:rPr>
        <w:t>zmienia się status dwóch przystanków w rejonie skrzyżowania</w:t>
        <w:br/>
        <w:t>Al. Jana Pawła II / ul. Okulickiego.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  <w:r>
        <w:rPr>
          <w:szCs w:val="20"/>
        </w:rPr>
        <w:t>Przystanki: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  <w:r>
        <w:rPr>
          <w:szCs w:val="20"/>
        </w:rPr>
        <w:t>- Al. Jana Pawła II - Górka 07 (kierunek: Os. Rozwadów)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  <w:r>
        <w:rPr>
          <w:szCs w:val="20"/>
        </w:rPr>
        <w:t>- Okulickiego - Górka 01 (kierunek: ul. Popiełuszki)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  <w:r>
        <w:rPr>
          <w:szCs w:val="20"/>
        </w:rPr>
        <w:t>zostają udostępnione dla Przewoźnikow i Operatorów wykonujących przewozy regularne i regularne specjalne.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</w:rPr>
      </w:pPr>
      <w:r>
        <w:rPr>
          <w:szCs w:val="20"/>
        </w:rPr>
        <w:t xml:space="preserve">Tym samym zostają usunięte z Załącznika nr 3 (przystanki udostępniane wyłacznie Operatorom) i zamieszczone w Załącznikach Nr 1 i 2 </w:t>
      </w:r>
      <w:r>
        <w:rPr>
          <w:szCs w:val="20"/>
        </w:rPr>
        <w:t>(przystanki udostępniane Operatorom i Przewoźnikom wykonującym przewozy regularne i regularne specjalne).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i/>
          <w:szCs w:val="20"/>
        </w:rPr>
      </w:pPr>
      <w:r>
        <w:rPr>
          <w:szCs w:val="20"/>
        </w:rPr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both"/>
        <w:rPr>
          <w:b/>
          <w:szCs w:val="20"/>
        </w:rPr>
      </w:pPr>
      <w:r>
        <w:rPr>
          <w:b/>
          <w:szCs w:val="20"/>
        </w:rPr>
        <w:t>Zmiany redakcyjne: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both"/>
        <w:rPr>
          <w:szCs w:val="20"/>
          <w:lang w:val="x-none" w:eastAsia="en-US" w:bidi="ar-SA"/>
        </w:rPr>
      </w:pPr>
      <w:r>
        <w:rPr>
          <w:szCs w:val="20"/>
        </w:rPr>
        <w:t xml:space="preserve">W §3 ust. 2 dodano zapis o Uchwale </w:t>
      </w:r>
      <w:r>
        <w:rPr>
          <w:szCs w:val="20"/>
        </w:rPr>
        <w:t>Nr XLIII/491/2021 z dnia 21 września 2021 r. zmieniającej</w:t>
        <w:br/>
        <w:t>Uchwałę Nr XII/172/11 z dnia 30 czerwca 2011 r., regującej popbieranie opłat za zatrzymania na przystankach.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both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340" w:right="0" w:firstLine="0"/>
        <w:contextualSpacing w:val="0"/>
        <w:jc w:val="both"/>
        <w:rPr>
          <w:color w:val="F00000"/>
          <w:szCs w:val="20"/>
          <w:lang w:val="x-none" w:eastAsia="en-US" w:bidi="ar-SA"/>
        </w:rPr>
      </w:pPr>
    </w:p>
    <w:sectPr>
      <w:footerReference w:type="default" r:id="rId17"/>
      <w:type w:val="nextPage"/>
      <w:pgSz w:w="11906" w:h="16838" w:code="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60C06545-8D8E-4907-8129-C872610F35CC.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footer" Target="footer7.xml" /><Relationship Id="rId15" Type="http://schemas.openxmlformats.org/officeDocument/2006/relationships/footer" Target="footer8.xml" /><Relationship Id="rId16" Type="http://schemas.openxmlformats.org/officeDocument/2006/relationships/footer" Target="footer9.xml" /><Relationship Id="rId17" Type="http://schemas.openxmlformats.org/officeDocument/2006/relationships/footer" Target="footer10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określenia przystanków komunikacyjnych, których właścicielem lub zarządzającym jest Gmina Stalowa Wola, udostępnionych dla operatorów i^ przewoźników oraz warunków i zasad korzystania z^tych obiektów</dc:subject>
  <dc:creator>pkuznar</dc:creator>
  <cp:lastModifiedBy>pkuznar</cp:lastModifiedBy>
  <cp:revision>1</cp:revision>
  <dcterms:created xsi:type="dcterms:W3CDTF">2023-09-22T14:17:13Z</dcterms:created>
  <dcterms:modified xsi:type="dcterms:W3CDTF">2023-09-22T14:17:13Z</dcterms:modified>
  <cp:category>Akt prawny</cp:category>
</cp:coreProperties>
</file>