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D3775" w14:textId="041860A1" w:rsidR="006E0BB3" w:rsidRPr="0079554A" w:rsidRDefault="006E0BB3" w:rsidP="006E0BB3">
      <w:pPr>
        <w:suppressAutoHyphens/>
        <w:spacing w:line="288" w:lineRule="auto"/>
        <w:jc w:val="right"/>
        <w:rPr>
          <w:rFonts w:eastAsia="Times New Roman"/>
          <w:bCs/>
          <w:lang w:eastAsia="ar-SA"/>
        </w:rPr>
      </w:pPr>
      <w:r w:rsidRPr="0079554A">
        <w:rPr>
          <w:rFonts w:eastAsia="Times New Roman"/>
          <w:bCs/>
          <w:lang w:eastAsia="ar-SA"/>
        </w:rPr>
        <w:t>projekt</w:t>
      </w:r>
    </w:p>
    <w:p w14:paraId="065778ED" w14:textId="77777777" w:rsidR="006E0BB3" w:rsidRPr="0079554A" w:rsidRDefault="006E0BB3" w:rsidP="006E0BB3">
      <w:pPr>
        <w:suppressAutoHyphens/>
        <w:spacing w:line="288" w:lineRule="auto"/>
        <w:jc w:val="right"/>
        <w:rPr>
          <w:rFonts w:eastAsia="Times New Roman"/>
          <w:b/>
          <w:bCs/>
          <w:sz w:val="22"/>
          <w:szCs w:val="22"/>
          <w:lang w:eastAsia="ar-SA"/>
        </w:rPr>
      </w:pPr>
    </w:p>
    <w:p w14:paraId="3D558D7D" w14:textId="1E883886" w:rsidR="006E0BB3" w:rsidRPr="001A5B65" w:rsidRDefault="006E0BB3" w:rsidP="009830D0">
      <w:pPr>
        <w:suppressAutoHyphens/>
        <w:spacing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1A5B65">
        <w:rPr>
          <w:rFonts w:eastAsia="Times New Roman"/>
          <w:b/>
          <w:bCs/>
          <w:sz w:val="24"/>
          <w:szCs w:val="24"/>
          <w:lang w:eastAsia="ar-SA"/>
        </w:rPr>
        <w:t>UCHWAŁA Nr …………..</w:t>
      </w:r>
    </w:p>
    <w:p w14:paraId="1621BE38" w14:textId="77777777" w:rsidR="006E0BB3" w:rsidRPr="001A5B65" w:rsidRDefault="006E0BB3" w:rsidP="009830D0">
      <w:pPr>
        <w:suppressAutoHyphens/>
        <w:spacing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1A5B65">
        <w:rPr>
          <w:rFonts w:eastAsia="Times New Roman"/>
          <w:b/>
          <w:bCs/>
          <w:sz w:val="24"/>
          <w:szCs w:val="24"/>
          <w:lang w:eastAsia="ar-SA"/>
        </w:rPr>
        <w:t>RADY MIEJSKIEJ W STALOWEJ WOLI</w:t>
      </w:r>
    </w:p>
    <w:p w14:paraId="278B1A99" w14:textId="77777777" w:rsidR="006E0BB3" w:rsidRPr="001A5B65" w:rsidRDefault="006E0BB3" w:rsidP="009830D0">
      <w:pPr>
        <w:suppressAutoHyphens/>
        <w:spacing w:line="360" w:lineRule="auto"/>
        <w:jc w:val="center"/>
        <w:rPr>
          <w:rFonts w:eastAsia="Times New Roman"/>
          <w:b/>
          <w:bCs/>
          <w:sz w:val="24"/>
          <w:szCs w:val="24"/>
          <w:lang w:eastAsia="ar-SA"/>
        </w:rPr>
      </w:pPr>
      <w:r w:rsidRPr="001A5B65">
        <w:rPr>
          <w:rFonts w:eastAsia="Times New Roman"/>
          <w:b/>
          <w:bCs/>
          <w:sz w:val="24"/>
          <w:szCs w:val="24"/>
          <w:lang w:eastAsia="ar-SA"/>
        </w:rPr>
        <w:t xml:space="preserve">z dnia ……………… r. </w:t>
      </w:r>
    </w:p>
    <w:p w14:paraId="0FEADE42" w14:textId="77777777" w:rsidR="006E0BB3" w:rsidRPr="001A5B65" w:rsidRDefault="006E0BB3" w:rsidP="009830D0">
      <w:pPr>
        <w:spacing w:line="360" w:lineRule="auto"/>
        <w:jc w:val="center"/>
        <w:rPr>
          <w:sz w:val="24"/>
          <w:szCs w:val="24"/>
        </w:rPr>
      </w:pPr>
    </w:p>
    <w:p w14:paraId="591C41C9" w14:textId="4E0DDEE8" w:rsidR="006E0BB3" w:rsidRPr="001A5B65" w:rsidRDefault="006E0BB3" w:rsidP="009830D0">
      <w:pPr>
        <w:spacing w:line="360" w:lineRule="auto"/>
        <w:jc w:val="both"/>
        <w:rPr>
          <w:b/>
          <w:sz w:val="24"/>
          <w:szCs w:val="24"/>
        </w:rPr>
      </w:pPr>
      <w:r w:rsidRPr="001A5B65">
        <w:rPr>
          <w:b/>
          <w:sz w:val="24"/>
          <w:szCs w:val="24"/>
        </w:rPr>
        <w:t>w sprawie zasad przeznaczania do sprzedaży nieruchomości gruntowych</w:t>
      </w:r>
      <w:r w:rsidR="00435E84" w:rsidRPr="001A5B65">
        <w:rPr>
          <w:b/>
          <w:sz w:val="24"/>
          <w:szCs w:val="24"/>
        </w:rPr>
        <w:t xml:space="preserve"> </w:t>
      </w:r>
      <w:r w:rsidRPr="001A5B65">
        <w:rPr>
          <w:b/>
          <w:sz w:val="24"/>
          <w:szCs w:val="24"/>
        </w:rPr>
        <w:t>oddanych</w:t>
      </w:r>
      <w:r w:rsidR="00435E84" w:rsidRPr="001A5B65">
        <w:rPr>
          <w:b/>
          <w:sz w:val="24"/>
          <w:szCs w:val="24"/>
        </w:rPr>
        <w:t xml:space="preserve"> </w:t>
      </w:r>
      <w:r w:rsidRPr="001A5B65">
        <w:rPr>
          <w:b/>
          <w:sz w:val="24"/>
          <w:szCs w:val="24"/>
        </w:rPr>
        <w:t>w użytkowanie wieczyste oraz szczegółowych wytycznych sprzedaży nieruchomości gruntowych na rzecz ich użytkowników wieczystych</w:t>
      </w:r>
    </w:p>
    <w:p w14:paraId="420DBD40" w14:textId="77777777" w:rsidR="006E0BB3" w:rsidRPr="001A5B65" w:rsidRDefault="006E0BB3" w:rsidP="009830D0">
      <w:pPr>
        <w:spacing w:line="360" w:lineRule="auto"/>
        <w:jc w:val="center"/>
        <w:rPr>
          <w:b/>
          <w:sz w:val="24"/>
          <w:szCs w:val="24"/>
        </w:rPr>
      </w:pPr>
    </w:p>
    <w:p w14:paraId="393F94FD" w14:textId="094B5B5A" w:rsidR="006E0BB3" w:rsidRPr="001A5B65" w:rsidRDefault="003F20F9" w:rsidP="009830D0">
      <w:pPr>
        <w:spacing w:after="240" w:line="360" w:lineRule="auto"/>
        <w:jc w:val="both"/>
        <w:rPr>
          <w:sz w:val="24"/>
          <w:szCs w:val="24"/>
        </w:rPr>
      </w:pPr>
      <w:r w:rsidRPr="001A5B65">
        <w:rPr>
          <w:rFonts w:eastAsia="Times New Roman"/>
          <w:sz w:val="24"/>
          <w:szCs w:val="24"/>
        </w:rPr>
        <w:t>Na podstawie art. 18 ust. 2 pkt 15 ustawy z dnia 8 marca 1990</w:t>
      </w:r>
      <w:r w:rsidR="006F5456">
        <w:rPr>
          <w:rFonts w:eastAsia="Times New Roman"/>
          <w:sz w:val="24"/>
          <w:szCs w:val="24"/>
        </w:rPr>
        <w:t> r. o samorządzie gminnym (</w:t>
      </w:r>
      <w:r w:rsidRPr="001A5B65">
        <w:rPr>
          <w:rFonts w:eastAsia="Times New Roman"/>
          <w:sz w:val="24"/>
          <w:szCs w:val="24"/>
        </w:rPr>
        <w:t>Dz.U. z 2023 r. poz. 40 ze zm.)</w:t>
      </w:r>
      <w:r w:rsidR="00A35451" w:rsidRPr="001A5B65">
        <w:rPr>
          <w:rFonts w:eastAsia="Times New Roman"/>
          <w:sz w:val="24"/>
          <w:szCs w:val="24"/>
        </w:rPr>
        <w:t xml:space="preserve"> oraz </w:t>
      </w:r>
      <w:r w:rsidR="006E0BB3" w:rsidRPr="001A5B65">
        <w:rPr>
          <w:sz w:val="24"/>
          <w:szCs w:val="24"/>
        </w:rPr>
        <w:t>art. 32 ust. 1b ustawy z dnia 21 sierpnia 1997</w:t>
      </w:r>
      <w:r w:rsidR="0098625F" w:rsidRPr="001A5B65">
        <w:rPr>
          <w:sz w:val="24"/>
          <w:szCs w:val="24"/>
        </w:rPr>
        <w:t> </w:t>
      </w:r>
      <w:r w:rsidR="006E0BB3" w:rsidRPr="001A5B65">
        <w:rPr>
          <w:sz w:val="24"/>
          <w:szCs w:val="24"/>
        </w:rPr>
        <w:t>r. o</w:t>
      </w:r>
      <w:r w:rsidR="0098625F" w:rsidRPr="001A5B65">
        <w:rPr>
          <w:sz w:val="24"/>
          <w:szCs w:val="24"/>
        </w:rPr>
        <w:t> </w:t>
      </w:r>
      <w:r w:rsidR="006E0BB3" w:rsidRPr="001A5B65">
        <w:rPr>
          <w:sz w:val="24"/>
          <w:szCs w:val="24"/>
        </w:rPr>
        <w:t>gospodarce nieruchomościami (Dz. U. z</w:t>
      </w:r>
      <w:r w:rsidR="0079554A" w:rsidRPr="001A5B65">
        <w:rPr>
          <w:sz w:val="24"/>
          <w:szCs w:val="24"/>
        </w:rPr>
        <w:t> </w:t>
      </w:r>
      <w:r w:rsidR="006E0BB3" w:rsidRPr="001A5B65">
        <w:rPr>
          <w:sz w:val="24"/>
          <w:szCs w:val="24"/>
        </w:rPr>
        <w:t>2023</w:t>
      </w:r>
      <w:r w:rsidR="0079554A" w:rsidRPr="001A5B65">
        <w:rPr>
          <w:sz w:val="24"/>
          <w:szCs w:val="24"/>
        </w:rPr>
        <w:t> </w:t>
      </w:r>
      <w:r w:rsidR="006E0BB3" w:rsidRPr="001A5B65">
        <w:rPr>
          <w:sz w:val="24"/>
          <w:szCs w:val="24"/>
        </w:rPr>
        <w:t>r. poz. 344 z</w:t>
      </w:r>
      <w:r w:rsidR="0098625F" w:rsidRPr="001A5B65">
        <w:rPr>
          <w:sz w:val="24"/>
          <w:szCs w:val="24"/>
        </w:rPr>
        <w:t>e</w:t>
      </w:r>
      <w:r w:rsidR="006E0BB3" w:rsidRPr="001A5B65">
        <w:rPr>
          <w:sz w:val="24"/>
          <w:szCs w:val="24"/>
        </w:rPr>
        <w:t xml:space="preserve"> zm.) </w:t>
      </w:r>
    </w:p>
    <w:p w14:paraId="4CE223EC" w14:textId="5F115B81" w:rsidR="006E0BB3" w:rsidRPr="001A5B65" w:rsidRDefault="006E0BB3" w:rsidP="009830D0">
      <w:pPr>
        <w:suppressAutoHyphens/>
        <w:spacing w:after="120" w:line="360" w:lineRule="auto"/>
        <w:jc w:val="center"/>
        <w:rPr>
          <w:rFonts w:eastAsia="Times New Roman"/>
          <w:b/>
          <w:sz w:val="24"/>
          <w:szCs w:val="24"/>
          <w:lang w:eastAsia="ar-SA"/>
        </w:rPr>
      </w:pPr>
      <w:r w:rsidRPr="001A5B65">
        <w:rPr>
          <w:rFonts w:eastAsia="Times New Roman"/>
          <w:b/>
          <w:sz w:val="24"/>
          <w:szCs w:val="24"/>
          <w:lang w:eastAsia="ar-SA"/>
        </w:rPr>
        <w:t>uchwala się, co następuje:</w:t>
      </w:r>
    </w:p>
    <w:p w14:paraId="1692F308" w14:textId="77777777" w:rsidR="006E0BB3" w:rsidRPr="001A5B65" w:rsidRDefault="006E0BB3" w:rsidP="009830D0">
      <w:pPr>
        <w:spacing w:after="120" w:line="360" w:lineRule="auto"/>
        <w:jc w:val="center"/>
        <w:rPr>
          <w:b/>
          <w:sz w:val="24"/>
          <w:szCs w:val="24"/>
        </w:rPr>
      </w:pPr>
      <w:r w:rsidRPr="001A5B65">
        <w:rPr>
          <w:b/>
          <w:sz w:val="24"/>
          <w:szCs w:val="24"/>
        </w:rPr>
        <w:t>§ 1.</w:t>
      </w:r>
    </w:p>
    <w:p w14:paraId="61034B77" w14:textId="27F6C4D8" w:rsidR="006E0BB3" w:rsidRPr="001A5B65" w:rsidRDefault="006E0BB3" w:rsidP="009830D0">
      <w:pPr>
        <w:spacing w:after="120"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 xml:space="preserve">Przeznaczenie do sprzedaży nieruchomości gruntowych stanowiących własność </w:t>
      </w:r>
      <w:r w:rsidR="0079554A" w:rsidRPr="001A5B65">
        <w:rPr>
          <w:sz w:val="24"/>
          <w:szCs w:val="24"/>
        </w:rPr>
        <w:t xml:space="preserve">Gminy Stalowa Wola </w:t>
      </w:r>
      <w:r w:rsidRPr="001A5B65">
        <w:rPr>
          <w:sz w:val="24"/>
          <w:szCs w:val="24"/>
        </w:rPr>
        <w:t>na rzecz ich użytkowników wieczystych</w:t>
      </w:r>
      <w:r w:rsidR="0036150B" w:rsidRPr="001A5B65">
        <w:rPr>
          <w:sz w:val="24"/>
          <w:szCs w:val="24"/>
        </w:rPr>
        <w:t xml:space="preserve"> dokonywana na podstawie art. 32 ustawy z dnia 21 sierpnia 1997 r. o gospodarce nieruchomościami (Dz. U. z 2023 </w:t>
      </w:r>
      <w:r w:rsidR="00806ECF" w:rsidRPr="001A5B65">
        <w:rPr>
          <w:sz w:val="24"/>
          <w:szCs w:val="24"/>
        </w:rPr>
        <w:t xml:space="preserve">r. poz. 344 </w:t>
      </w:r>
      <w:r w:rsidR="006F5456">
        <w:rPr>
          <w:sz w:val="24"/>
          <w:szCs w:val="24"/>
        </w:rPr>
        <w:t>ze</w:t>
      </w:r>
      <w:r w:rsidR="00806ECF" w:rsidRPr="001A5B65">
        <w:rPr>
          <w:sz w:val="24"/>
          <w:szCs w:val="24"/>
        </w:rPr>
        <w:t xml:space="preserve"> zm.)</w:t>
      </w:r>
      <w:r w:rsidRPr="001A5B65">
        <w:rPr>
          <w:sz w:val="24"/>
          <w:szCs w:val="24"/>
        </w:rPr>
        <w:t>, odbywa się na zasadach oraz według wytycznych sprzedaży określonych w</w:t>
      </w:r>
      <w:r w:rsidR="0079554A" w:rsidRPr="001A5B65">
        <w:rPr>
          <w:sz w:val="24"/>
          <w:szCs w:val="24"/>
        </w:rPr>
        <w:t> </w:t>
      </w:r>
      <w:r w:rsidRPr="001A5B65">
        <w:rPr>
          <w:sz w:val="24"/>
          <w:szCs w:val="24"/>
        </w:rPr>
        <w:t>niniejszej uchwale.</w:t>
      </w:r>
    </w:p>
    <w:p w14:paraId="38877424" w14:textId="3F7F5E92" w:rsidR="006E0BB3" w:rsidRPr="001A5B65" w:rsidRDefault="006E0BB3" w:rsidP="009830D0">
      <w:pPr>
        <w:spacing w:after="120" w:line="360" w:lineRule="auto"/>
        <w:jc w:val="center"/>
        <w:rPr>
          <w:b/>
          <w:sz w:val="24"/>
          <w:szCs w:val="24"/>
        </w:rPr>
      </w:pPr>
      <w:r w:rsidRPr="001A5B65">
        <w:rPr>
          <w:b/>
          <w:sz w:val="24"/>
          <w:szCs w:val="24"/>
        </w:rPr>
        <w:t>§ 2.</w:t>
      </w:r>
    </w:p>
    <w:p w14:paraId="14B35CBA" w14:textId="75DCA224" w:rsidR="006E0BB3" w:rsidRPr="001A5B65" w:rsidRDefault="006E0BB3" w:rsidP="009830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Sprzedaż, o której mowa w § 1, może nastąpić na wniosek użytkownika wieczystego, jeśli zostaną spełnione łącznie następujące warunki:</w:t>
      </w:r>
    </w:p>
    <w:p w14:paraId="5471B986" w14:textId="5317836A" w:rsidR="006E0BB3" w:rsidRPr="001A5B65" w:rsidRDefault="006E0BB3" w:rsidP="009830D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nieruchomość gruntowa nie jest przeznaczona w miejscowym planie zagospodarowania przestrzennego albo, w razie jego braku, w studium uwarunkowań i kierunków zagospodarowania przestrzennego na potrzeby zabezpieczenia rezerw terenów pod realizację celów publicznych</w:t>
      </w:r>
      <w:r w:rsidR="0036150B" w:rsidRPr="001A5B65">
        <w:rPr>
          <w:sz w:val="24"/>
          <w:szCs w:val="24"/>
        </w:rPr>
        <w:t>,</w:t>
      </w:r>
    </w:p>
    <w:p w14:paraId="7C4C8EEB" w14:textId="5840F405" w:rsidR="0098625F" w:rsidRPr="001A5B65" w:rsidRDefault="006E0BB3" w:rsidP="009830D0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 xml:space="preserve">dotychczasowy użytkownik wieczysty nie posiada zaległości wobec </w:t>
      </w:r>
      <w:r w:rsidR="0079554A" w:rsidRPr="001A5B65">
        <w:rPr>
          <w:sz w:val="24"/>
          <w:szCs w:val="24"/>
        </w:rPr>
        <w:t>Gminy Stalowa Wola</w:t>
      </w:r>
      <w:r w:rsidRPr="001A5B65">
        <w:rPr>
          <w:sz w:val="24"/>
          <w:szCs w:val="24"/>
        </w:rPr>
        <w:t xml:space="preserve"> </w:t>
      </w:r>
      <w:r w:rsidR="001A5B65">
        <w:rPr>
          <w:sz w:val="24"/>
          <w:szCs w:val="24"/>
        </w:rPr>
        <w:t>w </w:t>
      </w:r>
      <w:r w:rsidRPr="001A5B65">
        <w:rPr>
          <w:sz w:val="24"/>
          <w:szCs w:val="24"/>
        </w:rPr>
        <w:t>stosunku do nieruchomości gruntowej objętej sprzedażą</w:t>
      </w:r>
      <w:r w:rsidR="0098625F" w:rsidRPr="001A5B65">
        <w:rPr>
          <w:sz w:val="24"/>
          <w:szCs w:val="24"/>
        </w:rPr>
        <w:t>:</w:t>
      </w:r>
    </w:p>
    <w:p w14:paraId="1CA347A7" w14:textId="57A5A281" w:rsidR="0098625F" w:rsidRPr="001A5B65" w:rsidRDefault="0098625F" w:rsidP="009830D0">
      <w:pPr>
        <w:pStyle w:val="Akapitzlist"/>
        <w:spacing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 xml:space="preserve">a) </w:t>
      </w:r>
      <w:r w:rsidR="006E0BB3" w:rsidRPr="001A5B65">
        <w:rPr>
          <w:sz w:val="24"/>
          <w:szCs w:val="24"/>
        </w:rPr>
        <w:t>z tytułu opłat rocznych za użytkowanie wieczyste</w:t>
      </w:r>
      <w:r w:rsidRPr="001A5B65">
        <w:rPr>
          <w:sz w:val="24"/>
          <w:szCs w:val="24"/>
        </w:rPr>
        <w:t>,</w:t>
      </w:r>
    </w:p>
    <w:p w14:paraId="0C2D4BA0" w14:textId="47C6DB3E" w:rsidR="006E0BB3" w:rsidRPr="001A5B65" w:rsidRDefault="0098625F" w:rsidP="009830D0">
      <w:pPr>
        <w:pStyle w:val="Akapitzlist"/>
        <w:spacing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b) z tytułu podatku od nieruchomości</w:t>
      </w:r>
      <w:r w:rsidR="00A35451" w:rsidRPr="001A5B65">
        <w:rPr>
          <w:sz w:val="24"/>
          <w:szCs w:val="24"/>
        </w:rPr>
        <w:t>,</w:t>
      </w:r>
    </w:p>
    <w:p w14:paraId="32D5B529" w14:textId="7C8AF237" w:rsidR="00A35451" w:rsidRPr="001A5B65" w:rsidRDefault="00A35451" w:rsidP="009830D0">
      <w:pPr>
        <w:pStyle w:val="Akapitzlist"/>
        <w:spacing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c) z tytułu opłat za gospodarowanie odpadami komunalnymi.</w:t>
      </w:r>
    </w:p>
    <w:p w14:paraId="5BEE9A51" w14:textId="7543BBDD" w:rsidR="006E0BB3" w:rsidRPr="001A5B65" w:rsidRDefault="006E0BB3" w:rsidP="009830D0">
      <w:pPr>
        <w:pStyle w:val="Akapitzlist"/>
        <w:numPr>
          <w:ilvl w:val="0"/>
          <w:numId w:val="2"/>
        </w:numPr>
        <w:spacing w:after="120"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W przypadku niespełnienia warunków określonych w ust. 1 przeznaczenie do sprz</w:t>
      </w:r>
      <w:r w:rsidR="00806ECF" w:rsidRPr="001A5B65">
        <w:rPr>
          <w:sz w:val="24"/>
          <w:szCs w:val="24"/>
        </w:rPr>
        <w:t>edaży i sprzedaż może nastąpić wyłącznie</w:t>
      </w:r>
      <w:r w:rsidRPr="001A5B65">
        <w:rPr>
          <w:sz w:val="24"/>
          <w:szCs w:val="24"/>
        </w:rPr>
        <w:t xml:space="preserve"> za zgodą Rady</w:t>
      </w:r>
      <w:r w:rsidR="0079554A" w:rsidRPr="001A5B65">
        <w:rPr>
          <w:sz w:val="24"/>
          <w:szCs w:val="24"/>
        </w:rPr>
        <w:t xml:space="preserve"> Miejskiej w Stalowej Woli</w:t>
      </w:r>
      <w:r w:rsidRPr="001A5B65">
        <w:rPr>
          <w:sz w:val="24"/>
          <w:szCs w:val="24"/>
        </w:rPr>
        <w:t>.</w:t>
      </w:r>
    </w:p>
    <w:p w14:paraId="60C27E9F" w14:textId="77777777" w:rsidR="009830D0" w:rsidRDefault="009830D0" w:rsidP="009830D0">
      <w:pPr>
        <w:spacing w:after="120" w:line="360" w:lineRule="auto"/>
        <w:jc w:val="center"/>
        <w:rPr>
          <w:b/>
          <w:sz w:val="24"/>
          <w:szCs w:val="24"/>
        </w:rPr>
      </w:pPr>
    </w:p>
    <w:p w14:paraId="35FEAFC4" w14:textId="06A9B3FE" w:rsidR="006E0BB3" w:rsidRPr="001A5B65" w:rsidRDefault="006E0BB3" w:rsidP="009830D0">
      <w:pPr>
        <w:spacing w:after="12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1A5B65">
        <w:rPr>
          <w:b/>
          <w:sz w:val="24"/>
          <w:szCs w:val="24"/>
        </w:rPr>
        <w:lastRenderedPageBreak/>
        <w:t>§ 3.</w:t>
      </w:r>
    </w:p>
    <w:p w14:paraId="67AA53E1" w14:textId="2A8218DD" w:rsidR="006E0BB3" w:rsidRPr="001A5B65" w:rsidRDefault="006E0BB3" w:rsidP="009830D0">
      <w:pPr>
        <w:spacing w:after="120"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Cenę nieruchomości gruntowej przeznaczonej do sprzedaży, o której mowa w § 1 ustala się w sposób określony w art. 69 ustawy z dnia 21 sierpnia 1997 r. o gospodarce nieruchomościami</w:t>
      </w:r>
      <w:r w:rsidR="00806ECF" w:rsidRPr="001A5B65">
        <w:rPr>
          <w:sz w:val="24"/>
          <w:szCs w:val="24"/>
        </w:rPr>
        <w:t>.</w:t>
      </w:r>
      <w:r w:rsidR="00255A5A" w:rsidRPr="001A5B65">
        <w:rPr>
          <w:sz w:val="24"/>
          <w:szCs w:val="24"/>
        </w:rPr>
        <w:t xml:space="preserve"> </w:t>
      </w:r>
    </w:p>
    <w:p w14:paraId="4DCC925E" w14:textId="3402DDD6" w:rsidR="006E0BB3" w:rsidRPr="001A5B65" w:rsidRDefault="006E0BB3" w:rsidP="009830D0">
      <w:pPr>
        <w:spacing w:after="120" w:line="360" w:lineRule="auto"/>
        <w:jc w:val="center"/>
        <w:rPr>
          <w:b/>
          <w:sz w:val="24"/>
          <w:szCs w:val="24"/>
        </w:rPr>
      </w:pPr>
      <w:r w:rsidRPr="001A5B65">
        <w:rPr>
          <w:b/>
          <w:sz w:val="24"/>
          <w:szCs w:val="24"/>
        </w:rPr>
        <w:t xml:space="preserve">§ </w:t>
      </w:r>
      <w:r w:rsidR="00255A5A" w:rsidRPr="001A5B65">
        <w:rPr>
          <w:b/>
          <w:sz w:val="24"/>
          <w:szCs w:val="24"/>
        </w:rPr>
        <w:t>4</w:t>
      </w:r>
      <w:r w:rsidRPr="001A5B65">
        <w:rPr>
          <w:b/>
          <w:sz w:val="24"/>
          <w:szCs w:val="24"/>
        </w:rPr>
        <w:t>.</w:t>
      </w:r>
    </w:p>
    <w:p w14:paraId="6B2DACEB" w14:textId="524F9EBE" w:rsidR="0079554A" w:rsidRPr="001A5B65" w:rsidRDefault="0079554A" w:rsidP="009830D0">
      <w:pPr>
        <w:spacing w:after="120" w:line="360" w:lineRule="auto"/>
        <w:jc w:val="both"/>
        <w:rPr>
          <w:sz w:val="24"/>
          <w:szCs w:val="24"/>
        </w:rPr>
      </w:pPr>
      <w:r w:rsidRPr="001A5B65">
        <w:rPr>
          <w:sz w:val="24"/>
          <w:szCs w:val="24"/>
        </w:rPr>
        <w:t>Wykonanie uchwały powierza się Prezydentowi Miasta Stalowej Woli.</w:t>
      </w:r>
    </w:p>
    <w:p w14:paraId="66336230" w14:textId="78C54C12" w:rsidR="006E0BB3" w:rsidRPr="001A5B65" w:rsidRDefault="006E0BB3" w:rsidP="009830D0">
      <w:pPr>
        <w:spacing w:after="120" w:line="360" w:lineRule="auto"/>
        <w:jc w:val="center"/>
        <w:rPr>
          <w:b/>
          <w:sz w:val="24"/>
          <w:szCs w:val="24"/>
        </w:rPr>
      </w:pPr>
      <w:r w:rsidRPr="001A5B65">
        <w:rPr>
          <w:b/>
          <w:sz w:val="24"/>
          <w:szCs w:val="24"/>
        </w:rPr>
        <w:t xml:space="preserve">§ </w:t>
      </w:r>
      <w:r w:rsidR="00255A5A" w:rsidRPr="001A5B65">
        <w:rPr>
          <w:b/>
          <w:sz w:val="24"/>
          <w:szCs w:val="24"/>
        </w:rPr>
        <w:t>5</w:t>
      </w:r>
      <w:r w:rsidRPr="001A5B65">
        <w:rPr>
          <w:b/>
          <w:sz w:val="24"/>
          <w:szCs w:val="24"/>
        </w:rPr>
        <w:t>.</w:t>
      </w:r>
    </w:p>
    <w:p w14:paraId="192F1D17" w14:textId="4AF35C82" w:rsidR="00EC2B9C" w:rsidRPr="001A5B65" w:rsidRDefault="006E0BB3" w:rsidP="009830D0">
      <w:pPr>
        <w:spacing w:after="120" w:line="360" w:lineRule="auto"/>
        <w:rPr>
          <w:sz w:val="24"/>
          <w:szCs w:val="24"/>
        </w:rPr>
      </w:pPr>
      <w:r w:rsidRPr="001A5B65">
        <w:rPr>
          <w:sz w:val="24"/>
          <w:szCs w:val="24"/>
        </w:rPr>
        <w:t xml:space="preserve">Uchwała wchodzi w życie po upływie 14 dni od daty ogłoszenia w Dzienniku Urzędowym Województwa Podkarpackiego. </w:t>
      </w:r>
    </w:p>
    <w:p w14:paraId="12FC5EE3" w14:textId="77777777" w:rsidR="00310F67" w:rsidRDefault="00310F67" w:rsidP="009830D0">
      <w:pPr>
        <w:spacing w:after="120" w:line="360" w:lineRule="auto"/>
        <w:rPr>
          <w:sz w:val="24"/>
          <w:szCs w:val="24"/>
        </w:rPr>
      </w:pPr>
    </w:p>
    <w:p w14:paraId="6448D6E8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5969620A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3AE2F8B8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306C7194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4B4E0039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0A6B7329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572DA750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0D78837A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6358A9DF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5B79C5F3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69ABD15E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7F8BF808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37B758E5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0FDA2B20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3FB52D9C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24A3A259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349800A8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465DFC15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1E9C7D4F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748004B5" w14:textId="77777777" w:rsidR="009830D0" w:rsidRDefault="009830D0" w:rsidP="009830D0">
      <w:pPr>
        <w:spacing w:after="120" w:line="360" w:lineRule="auto"/>
        <w:rPr>
          <w:sz w:val="24"/>
          <w:szCs w:val="24"/>
        </w:rPr>
      </w:pPr>
    </w:p>
    <w:p w14:paraId="6E4178C1" w14:textId="77777777" w:rsidR="009830D0" w:rsidRPr="001A5B65" w:rsidRDefault="009830D0" w:rsidP="009830D0">
      <w:pPr>
        <w:spacing w:after="120" w:line="360" w:lineRule="auto"/>
        <w:rPr>
          <w:sz w:val="24"/>
          <w:szCs w:val="24"/>
        </w:rPr>
      </w:pPr>
    </w:p>
    <w:p w14:paraId="46385437" w14:textId="7A038EC7" w:rsidR="00310F67" w:rsidRPr="001A5B65" w:rsidRDefault="00310F67" w:rsidP="009830D0">
      <w:pPr>
        <w:spacing w:after="120" w:line="360" w:lineRule="auto"/>
        <w:jc w:val="center"/>
        <w:rPr>
          <w:sz w:val="24"/>
          <w:szCs w:val="24"/>
        </w:rPr>
      </w:pPr>
      <w:r w:rsidRPr="001A5B65">
        <w:rPr>
          <w:sz w:val="24"/>
          <w:szCs w:val="24"/>
        </w:rPr>
        <w:t>UZASADNIENIE</w:t>
      </w:r>
    </w:p>
    <w:p w14:paraId="75896F76" w14:textId="77777777" w:rsidR="00310F67" w:rsidRPr="001A5B65" w:rsidRDefault="00310F67" w:rsidP="009830D0">
      <w:pPr>
        <w:spacing w:after="120" w:line="360" w:lineRule="auto"/>
        <w:jc w:val="center"/>
        <w:rPr>
          <w:sz w:val="24"/>
          <w:szCs w:val="24"/>
        </w:rPr>
      </w:pPr>
    </w:p>
    <w:p w14:paraId="3485F5C8" w14:textId="76D7464B" w:rsidR="00310F67" w:rsidRPr="001A5B65" w:rsidRDefault="001A5B65" w:rsidP="009830D0">
      <w:pPr>
        <w:spacing w:after="120" w:line="360" w:lineRule="auto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Rada Miejska w Stalowej Woli, </w:t>
      </w:r>
      <w:r w:rsidRPr="001A5B65">
        <w:rPr>
          <w:rStyle w:val="ui-provider"/>
          <w:sz w:val="24"/>
          <w:szCs w:val="24"/>
        </w:rPr>
        <w:t>na podstawie art. 32 ust. 1b ustawy o gospodarce nieruchomościami (Dz. U. 2023, poz. 344 ze zm.)</w:t>
      </w:r>
      <w:r>
        <w:rPr>
          <w:rStyle w:val="ui-provider"/>
          <w:sz w:val="24"/>
          <w:szCs w:val="24"/>
        </w:rPr>
        <w:t xml:space="preserve"> </w:t>
      </w:r>
      <w:r w:rsidR="00310F67" w:rsidRPr="001A5B65">
        <w:rPr>
          <w:rStyle w:val="ui-provider"/>
          <w:sz w:val="24"/>
          <w:szCs w:val="24"/>
        </w:rPr>
        <w:t>została zobligowana do podjęcia uchwały</w:t>
      </w:r>
      <w:r>
        <w:rPr>
          <w:rStyle w:val="ui-provider"/>
          <w:sz w:val="24"/>
          <w:szCs w:val="24"/>
        </w:rPr>
        <w:t xml:space="preserve"> określającej zasady przeznaczenia do sprzedaży nieruchomości gruntowych oddanych w użytkowa</w:t>
      </w:r>
      <w:r w:rsidR="00A10310">
        <w:rPr>
          <w:rStyle w:val="ui-provider"/>
          <w:sz w:val="24"/>
          <w:szCs w:val="24"/>
        </w:rPr>
        <w:t>nie wieczyste oraz szczegółowe wytyczne</w:t>
      </w:r>
      <w:r>
        <w:rPr>
          <w:rStyle w:val="ui-provider"/>
          <w:sz w:val="24"/>
          <w:szCs w:val="24"/>
        </w:rPr>
        <w:t xml:space="preserve"> sprzedaży nieruchomości gruntowych na rzecz ich użytkowników wieczystych</w:t>
      </w:r>
      <w:r w:rsidR="00310F67" w:rsidRPr="001A5B65">
        <w:rPr>
          <w:rStyle w:val="ui-provider"/>
          <w:sz w:val="24"/>
          <w:szCs w:val="24"/>
        </w:rPr>
        <w:t>. Powyższe wynika ze zmian wprowadzonych ustawą z dnia 26 maja 2023 r. o zmianie ustawy o samorządzie gminny</w:t>
      </w:r>
      <w:r w:rsidR="00A10310">
        <w:rPr>
          <w:rStyle w:val="ui-provider"/>
          <w:sz w:val="24"/>
          <w:szCs w:val="24"/>
        </w:rPr>
        <w:t>m</w:t>
      </w:r>
      <w:r w:rsidR="00310F67" w:rsidRPr="001A5B65">
        <w:rPr>
          <w:rStyle w:val="ui-provider"/>
          <w:sz w:val="24"/>
          <w:szCs w:val="24"/>
        </w:rPr>
        <w:t>, ustawy o społecznych formach r</w:t>
      </w:r>
      <w:r>
        <w:rPr>
          <w:rStyle w:val="ui-provider"/>
          <w:sz w:val="24"/>
          <w:szCs w:val="24"/>
        </w:rPr>
        <w:t>ozwoju mieszkalnictwa, ustawy o </w:t>
      </w:r>
      <w:r w:rsidR="00310F67" w:rsidRPr="001A5B65">
        <w:rPr>
          <w:rStyle w:val="ui-provider"/>
          <w:sz w:val="24"/>
          <w:szCs w:val="24"/>
        </w:rPr>
        <w:t>gospodarce nieruchomościami, ustawy o podatku od czynności cywilnoprawnych oraz niektórych innych ustaw. </w:t>
      </w:r>
    </w:p>
    <w:p w14:paraId="4AD53AE9" w14:textId="00279523" w:rsidR="00310F67" w:rsidRDefault="001A5B65" w:rsidP="009830D0">
      <w:pPr>
        <w:spacing w:after="120" w:line="360" w:lineRule="auto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 xml:space="preserve">Przy ustalaniu wymienionych zasad, rada winna kierować się m.in. potrzebami społeczności lokalnej </w:t>
      </w:r>
      <w:r w:rsidR="00A10310">
        <w:rPr>
          <w:rStyle w:val="ui-provider"/>
          <w:sz w:val="24"/>
          <w:szCs w:val="24"/>
        </w:rPr>
        <w:t>oraz</w:t>
      </w:r>
      <w:r>
        <w:rPr>
          <w:rStyle w:val="ui-provider"/>
          <w:sz w:val="24"/>
          <w:szCs w:val="24"/>
        </w:rPr>
        <w:t xml:space="preserve"> interesem publicznym, racjonalnością ekonomiczną, ładem przestrzennym, stanem realizacji postanowień umowy o oddanie w użytkowanie wieczyste, okresem pozostałym do wygaśnięcia prawa użytkowania wieczystego na skutek upływu okresu ustalonego w umowie o oddanie nieruchomości gruntowej w użytkowanie wieczyste</w:t>
      </w:r>
      <w:r w:rsidR="00A10310">
        <w:rPr>
          <w:rStyle w:val="ui-provider"/>
          <w:sz w:val="24"/>
          <w:szCs w:val="24"/>
        </w:rPr>
        <w:t xml:space="preserve">, potencjałem inwestycyjnym nieruchomości gruntowej na potrzeby realizacji celów publicznych, budownictwa mieszkaniowego lub celów użyteczności publicznej. Przepis art. 32 ust 1b określa przykładowo kryteria, którymi właściwe organy mogą się kierować w swoich uchwałach. </w:t>
      </w:r>
    </w:p>
    <w:p w14:paraId="7E409C5E" w14:textId="7C876040" w:rsidR="00A10310" w:rsidRDefault="00A10310" w:rsidP="009830D0">
      <w:pPr>
        <w:spacing w:after="120" w:line="360" w:lineRule="auto"/>
        <w:jc w:val="both"/>
        <w:rPr>
          <w:rStyle w:val="ui-provider"/>
          <w:sz w:val="24"/>
          <w:szCs w:val="24"/>
        </w:rPr>
      </w:pPr>
      <w:r>
        <w:rPr>
          <w:rStyle w:val="ui-provider"/>
          <w:sz w:val="24"/>
          <w:szCs w:val="24"/>
        </w:rPr>
        <w:t>W uchwale Rady Miejskiej w Stalowej Woli przyjęto, że użytkownik wieczysty ubiegający się o nabycie prawa własności nie może posiadać zaległości w stosunku do nieruchomości objętej sprzedażą z tytułu opłat za użytkowanie wieczyste, podatku od nieruchomości oraz z tytułu opłat za gospodarowanie odpadami komunalnymi.</w:t>
      </w:r>
    </w:p>
    <w:p w14:paraId="7084822A" w14:textId="008270BA" w:rsidR="00A10310" w:rsidRPr="001A5B65" w:rsidRDefault="00A10310" w:rsidP="009830D0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Style w:val="ui-provider"/>
          <w:sz w:val="24"/>
          <w:szCs w:val="24"/>
        </w:rPr>
        <w:t>Wobec powyższego podjęcie uchwały jest uzasadnione.</w:t>
      </w:r>
    </w:p>
    <w:sectPr w:rsidR="00A10310" w:rsidRPr="001A5B65" w:rsidSect="0079554A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47598"/>
    <w:multiLevelType w:val="hybridMultilevel"/>
    <w:tmpl w:val="E48C9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57128F"/>
    <w:multiLevelType w:val="hybridMultilevel"/>
    <w:tmpl w:val="64F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07685"/>
    <w:multiLevelType w:val="hybridMultilevel"/>
    <w:tmpl w:val="01B241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518AFCEE-EAE4-430D-AB74-D189D69BFCE2}"/>
  </w:docVars>
  <w:rsids>
    <w:rsidRoot w:val="007B0728"/>
    <w:rsid w:val="001A5B65"/>
    <w:rsid w:val="00255A5A"/>
    <w:rsid w:val="00310F67"/>
    <w:rsid w:val="0036150B"/>
    <w:rsid w:val="003F20F9"/>
    <w:rsid w:val="00435E84"/>
    <w:rsid w:val="004D24AF"/>
    <w:rsid w:val="004E14DF"/>
    <w:rsid w:val="00690410"/>
    <w:rsid w:val="006E0BB3"/>
    <w:rsid w:val="006F5456"/>
    <w:rsid w:val="0079554A"/>
    <w:rsid w:val="007B0728"/>
    <w:rsid w:val="00806ECF"/>
    <w:rsid w:val="008E0F89"/>
    <w:rsid w:val="0090282A"/>
    <w:rsid w:val="009830D0"/>
    <w:rsid w:val="0098625F"/>
    <w:rsid w:val="00A10310"/>
    <w:rsid w:val="00A35451"/>
    <w:rsid w:val="00A5550F"/>
    <w:rsid w:val="00B77394"/>
    <w:rsid w:val="00CD7056"/>
    <w:rsid w:val="00D42DB5"/>
    <w:rsid w:val="00E734D3"/>
    <w:rsid w:val="00EC2B9C"/>
    <w:rsid w:val="00F1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F1F90"/>
  <w15:chartTrackingRefBased/>
  <w15:docId w15:val="{C1B33DCA-263D-4CFA-A952-9E82C05C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B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2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4AF"/>
    <w:rPr>
      <w:rFonts w:ascii="Segoe UI" w:hAnsi="Segoe UI" w:cs="Segoe UI"/>
      <w:sz w:val="18"/>
      <w:szCs w:val="18"/>
    </w:rPr>
  </w:style>
  <w:style w:type="character" w:customStyle="1" w:styleId="ui-provider">
    <w:name w:val="ui-provider"/>
    <w:basedOn w:val="Domylnaczcionkaakapitu"/>
    <w:rsid w:val="0031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12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86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169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52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1599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854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AFCEE-EAE4-430D-AB74-D189D69BFCE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9B00E9E9-86A4-4203-ABB2-F7B3AFB0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553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Puzio Sabina</dc:creator>
  <cp:keywords/>
  <dc:description/>
  <cp:lastModifiedBy>Sławomir Szkutnik</cp:lastModifiedBy>
  <cp:revision>4</cp:revision>
  <cp:lastPrinted>2023-12-11T12:10:00Z</cp:lastPrinted>
  <dcterms:created xsi:type="dcterms:W3CDTF">2023-12-11T12:09:00Z</dcterms:created>
  <dcterms:modified xsi:type="dcterms:W3CDTF">2023-12-11T13:57:00Z</dcterms:modified>
</cp:coreProperties>
</file>