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BB" w:rsidRDefault="000807BB" w:rsidP="000807BB">
      <w:pPr>
        <w:jc w:val="both"/>
        <w:rPr>
          <w:rFonts w:ascii="Arial" w:hAnsi="Arial" w:cs="Arial"/>
          <w:sz w:val="24"/>
          <w:szCs w:val="24"/>
        </w:rPr>
      </w:pPr>
    </w:p>
    <w:p w:rsidR="000807BB" w:rsidRPr="00045A9E" w:rsidRDefault="000807BB" w:rsidP="000807BB">
      <w:pPr>
        <w:pStyle w:val="Bezodstpw"/>
        <w:jc w:val="right"/>
        <w:rPr>
          <w:rFonts w:ascii="Arial" w:hAnsi="Arial" w:cs="Arial"/>
          <w:sz w:val="24"/>
          <w:szCs w:val="24"/>
        </w:rPr>
      </w:pPr>
      <w:r w:rsidRPr="00045A9E">
        <w:rPr>
          <w:rFonts w:ascii="Arial" w:hAnsi="Arial" w:cs="Arial"/>
          <w:sz w:val="24"/>
          <w:szCs w:val="24"/>
        </w:rPr>
        <w:t>/projekt/</w:t>
      </w: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UCHWAŁA NR …………….</w:t>
      </w: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RADY MIEJSKIEJ W STALOWEJ WOLI</w:t>
      </w: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z dnia ………………</w:t>
      </w:r>
    </w:p>
    <w:p w:rsidR="000807BB" w:rsidRDefault="000807BB" w:rsidP="000807BB">
      <w:pPr>
        <w:pStyle w:val="Bezodstpw"/>
        <w:rPr>
          <w:rFonts w:ascii="Arial" w:hAnsi="Arial" w:cs="Arial"/>
          <w:sz w:val="24"/>
          <w:szCs w:val="24"/>
        </w:rPr>
      </w:pPr>
    </w:p>
    <w:p w:rsidR="000807BB" w:rsidRDefault="000807BB" w:rsidP="000807BB">
      <w:pPr>
        <w:pStyle w:val="Bezodstpw"/>
        <w:rPr>
          <w:rFonts w:ascii="Arial" w:hAnsi="Arial" w:cs="Arial"/>
          <w:sz w:val="24"/>
          <w:szCs w:val="24"/>
        </w:rPr>
      </w:pP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w sprawie wyrażenia zgody na spłatę należności z tytułu nienależnie pobranego wynagrodzenia</w:t>
      </w:r>
    </w:p>
    <w:p w:rsidR="000807BB" w:rsidRDefault="000807BB" w:rsidP="000807BB">
      <w:pPr>
        <w:pStyle w:val="Bezodstpw"/>
        <w:rPr>
          <w:rFonts w:ascii="Arial" w:hAnsi="Arial" w:cs="Arial"/>
          <w:sz w:val="24"/>
          <w:szCs w:val="24"/>
        </w:rPr>
      </w:pPr>
    </w:p>
    <w:p w:rsidR="000807BB" w:rsidRDefault="000807BB" w:rsidP="000807BB">
      <w:pPr>
        <w:pStyle w:val="Bezodstpw"/>
        <w:jc w:val="both"/>
        <w:rPr>
          <w:rFonts w:ascii="Arial" w:hAnsi="Arial" w:cs="Arial"/>
          <w:sz w:val="24"/>
          <w:szCs w:val="24"/>
        </w:rPr>
      </w:pPr>
      <w:r>
        <w:rPr>
          <w:rFonts w:ascii="Arial" w:hAnsi="Arial" w:cs="Arial"/>
          <w:sz w:val="24"/>
          <w:szCs w:val="24"/>
        </w:rPr>
        <w:t xml:space="preserve">Na podstawie art. 18 ust. 1 ustawy z dnia 8 marca 1990 r. o samorządzie gminnym (Dz.U. z 2018 r. poz. 994 ze zm.) oraz § 8,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t>
      </w:r>
      <w:r>
        <w:rPr>
          <w:rFonts w:ascii="Arial" w:hAnsi="Arial" w:cs="Arial"/>
          <w:sz w:val="24"/>
          <w:szCs w:val="24"/>
        </w:rPr>
        <w:br/>
        <w:t xml:space="preserve">w przypadkach, w których ulga stanowić będzie pomoc publiczną (Dz. U. Woj. </w:t>
      </w:r>
      <w:proofErr w:type="spellStart"/>
      <w:r>
        <w:rPr>
          <w:rFonts w:ascii="Arial" w:hAnsi="Arial" w:cs="Arial"/>
          <w:sz w:val="24"/>
          <w:szCs w:val="24"/>
        </w:rPr>
        <w:t>Podk</w:t>
      </w:r>
      <w:proofErr w:type="spellEnd"/>
      <w:r>
        <w:rPr>
          <w:rFonts w:ascii="Arial" w:hAnsi="Arial" w:cs="Arial"/>
          <w:sz w:val="24"/>
          <w:szCs w:val="24"/>
        </w:rPr>
        <w:t xml:space="preserve">. </w:t>
      </w:r>
      <w:r>
        <w:rPr>
          <w:rFonts w:ascii="Arial" w:hAnsi="Arial" w:cs="Arial"/>
          <w:sz w:val="24"/>
          <w:szCs w:val="24"/>
        </w:rPr>
        <w:br/>
        <w:t>z 2010 r. Nr 64, poz. 1275 ze zm.) uchwala się, co następuje:</w:t>
      </w:r>
    </w:p>
    <w:p w:rsidR="000807BB" w:rsidRDefault="000807BB" w:rsidP="000807BB">
      <w:pPr>
        <w:pStyle w:val="Bezodstpw"/>
        <w:jc w:val="center"/>
        <w:rPr>
          <w:rFonts w:ascii="Arial" w:hAnsi="Arial" w:cs="Arial"/>
          <w:b/>
          <w:sz w:val="24"/>
          <w:szCs w:val="24"/>
        </w:rPr>
      </w:pP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 1</w:t>
      </w:r>
    </w:p>
    <w:p w:rsidR="000807BB" w:rsidRDefault="000807BB" w:rsidP="000807BB">
      <w:pPr>
        <w:pStyle w:val="Bezodstpw"/>
        <w:numPr>
          <w:ilvl w:val="0"/>
          <w:numId w:val="1"/>
        </w:numPr>
        <w:jc w:val="both"/>
        <w:rPr>
          <w:rFonts w:ascii="Arial" w:hAnsi="Arial" w:cs="Arial"/>
          <w:sz w:val="24"/>
          <w:szCs w:val="24"/>
        </w:rPr>
      </w:pPr>
      <w:r>
        <w:rPr>
          <w:rFonts w:ascii="Arial" w:hAnsi="Arial" w:cs="Arial"/>
          <w:sz w:val="24"/>
          <w:szCs w:val="24"/>
        </w:rPr>
        <w:t xml:space="preserve">Wyraża się zgodę na rozłożenie INTOP Tarnobrzeg Sp. z o.o., należności w kwocie 800.000,00 złotych (słownie: osiemset tysięcy złotych) </w:t>
      </w:r>
      <w:r>
        <w:rPr>
          <w:rFonts w:ascii="Arial" w:hAnsi="Arial" w:cs="Arial"/>
          <w:sz w:val="24"/>
          <w:szCs w:val="24"/>
        </w:rPr>
        <w:br/>
        <w:t xml:space="preserve">z tytułu nienależnie wypłaconego wynagrodzenia z tytułu realizacji umowy zawartej na realizację zadania pn.: „Budowa łącznika drogowego wraz z przebudową grogi gminnej ul. Solidarności” na 4 równe raty miesięczne. </w:t>
      </w:r>
    </w:p>
    <w:p w:rsidR="000807BB" w:rsidRPr="00886636" w:rsidRDefault="000807BB" w:rsidP="000807BB">
      <w:pPr>
        <w:pStyle w:val="Bezodstpw"/>
        <w:numPr>
          <w:ilvl w:val="0"/>
          <w:numId w:val="1"/>
        </w:numPr>
        <w:jc w:val="both"/>
        <w:rPr>
          <w:rFonts w:ascii="Arial" w:hAnsi="Arial" w:cs="Arial"/>
          <w:sz w:val="24"/>
          <w:szCs w:val="24"/>
        </w:rPr>
      </w:pPr>
      <w:r w:rsidRPr="00886636">
        <w:rPr>
          <w:rFonts w:ascii="Arial" w:hAnsi="Arial" w:cs="Arial"/>
          <w:sz w:val="24"/>
          <w:szCs w:val="24"/>
        </w:rPr>
        <w:t>Szczegółowe warunki spłaty należności wymienionej w ust. 1 zostaną określone w Porozumieniu Prezydenta Miasta zawartej z dłużnikiem.</w:t>
      </w:r>
    </w:p>
    <w:p w:rsidR="000807BB" w:rsidRDefault="000807BB" w:rsidP="000807BB">
      <w:pPr>
        <w:pStyle w:val="Bezodstpw"/>
        <w:ind w:left="360"/>
        <w:rPr>
          <w:rFonts w:ascii="Arial" w:hAnsi="Arial" w:cs="Arial"/>
          <w:sz w:val="24"/>
          <w:szCs w:val="24"/>
        </w:rPr>
      </w:pP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 2</w:t>
      </w:r>
    </w:p>
    <w:p w:rsidR="000807BB" w:rsidRDefault="000807BB" w:rsidP="000807BB">
      <w:pPr>
        <w:pStyle w:val="Bezodstpw"/>
        <w:rPr>
          <w:rFonts w:ascii="Arial" w:hAnsi="Arial" w:cs="Arial"/>
          <w:sz w:val="24"/>
          <w:szCs w:val="24"/>
        </w:rPr>
      </w:pPr>
      <w:r>
        <w:rPr>
          <w:rFonts w:ascii="Arial" w:hAnsi="Arial" w:cs="Arial"/>
          <w:sz w:val="24"/>
          <w:szCs w:val="24"/>
        </w:rPr>
        <w:t>Wykonanie Uchwały powierza się Prezydentowi Miasta Stalowej Woli.</w:t>
      </w:r>
    </w:p>
    <w:p w:rsidR="000807BB" w:rsidRDefault="000807BB" w:rsidP="000807BB">
      <w:pPr>
        <w:pStyle w:val="Bezodstpw"/>
        <w:rPr>
          <w:rFonts w:ascii="Arial" w:hAnsi="Arial" w:cs="Arial"/>
          <w:sz w:val="24"/>
          <w:szCs w:val="24"/>
        </w:rPr>
      </w:pPr>
    </w:p>
    <w:p w:rsidR="000807BB" w:rsidRPr="00AA7DD6" w:rsidRDefault="000807BB" w:rsidP="000807BB">
      <w:pPr>
        <w:pStyle w:val="Bezodstpw"/>
        <w:jc w:val="center"/>
        <w:rPr>
          <w:rFonts w:ascii="Arial" w:hAnsi="Arial" w:cs="Arial"/>
          <w:b/>
          <w:sz w:val="24"/>
          <w:szCs w:val="24"/>
        </w:rPr>
      </w:pPr>
      <w:r w:rsidRPr="00AA7DD6">
        <w:rPr>
          <w:rFonts w:ascii="Arial" w:hAnsi="Arial" w:cs="Arial"/>
          <w:b/>
          <w:sz w:val="24"/>
          <w:szCs w:val="24"/>
        </w:rPr>
        <w:t>§ 3</w:t>
      </w:r>
    </w:p>
    <w:p w:rsidR="000807BB" w:rsidRDefault="000807BB" w:rsidP="000807BB">
      <w:pPr>
        <w:pStyle w:val="Bezodstpw"/>
        <w:rPr>
          <w:rFonts w:ascii="Arial" w:hAnsi="Arial" w:cs="Arial"/>
          <w:sz w:val="24"/>
          <w:szCs w:val="24"/>
        </w:rPr>
      </w:pPr>
      <w:r>
        <w:rPr>
          <w:rFonts w:ascii="Arial" w:hAnsi="Arial" w:cs="Arial"/>
          <w:sz w:val="24"/>
          <w:szCs w:val="24"/>
        </w:rPr>
        <w:t>Uchwała wchodzi z życiem z dniem podjęcia.</w:t>
      </w:r>
    </w:p>
    <w:p w:rsidR="000807BB" w:rsidRDefault="000807BB" w:rsidP="000807BB">
      <w:pPr>
        <w:pStyle w:val="Bezodstpw"/>
        <w:rPr>
          <w:rFonts w:ascii="Arial" w:hAnsi="Arial" w:cs="Arial"/>
          <w:sz w:val="24"/>
          <w:szCs w:val="24"/>
        </w:rPr>
      </w:pPr>
    </w:p>
    <w:p w:rsidR="000807BB" w:rsidRDefault="000807BB" w:rsidP="000807BB">
      <w:pPr>
        <w:pStyle w:val="Bezodstpw"/>
        <w:rPr>
          <w:rFonts w:ascii="Arial" w:hAnsi="Arial" w:cs="Arial"/>
          <w:sz w:val="24"/>
          <w:szCs w:val="24"/>
        </w:rPr>
      </w:pPr>
    </w:p>
    <w:p w:rsidR="000807BB" w:rsidRDefault="000807BB" w:rsidP="000807BB">
      <w:pPr>
        <w:pStyle w:val="Bezodstpw"/>
        <w:rPr>
          <w:rFonts w:ascii="Arial" w:hAnsi="Arial" w:cs="Arial"/>
          <w:sz w:val="24"/>
          <w:szCs w:val="24"/>
        </w:rPr>
      </w:pPr>
    </w:p>
    <w:p w:rsidR="000807BB" w:rsidRPr="00045A9E" w:rsidRDefault="000807BB" w:rsidP="000807BB">
      <w:pPr>
        <w:pStyle w:val="Bezodstpw"/>
        <w:rPr>
          <w:rFonts w:ascii="Arial" w:hAnsi="Arial" w:cs="Arial"/>
          <w:sz w:val="24"/>
          <w:szCs w:val="24"/>
        </w:rPr>
      </w:pPr>
    </w:p>
    <w:p w:rsidR="000807BB" w:rsidRPr="00045A9E" w:rsidRDefault="000807BB" w:rsidP="000807BB">
      <w:pPr>
        <w:pStyle w:val="Bezodstpw"/>
        <w:rPr>
          <w:rFonts w:ascii="Arial" w:hAnsi="Arial" w:cs="Arial"/>
          <w:sz w:val="24"/>
          <w:szCs w:val="24"/>
        </w:rPr>
      </w:pPr>
    </w:p>
    <w:p w:rsidR="000807BB" w:rsidRPr="00045A9E" w:rsidRDefault="000807BB" w:rsidP="000807BB">
      <w:pPr>
        <w:pStyle w:val="Bezodstpw"/>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Pr="00307509" w:rsidRDefault="000807BB" w:rsidP="000807BB">
      <w:pPr>
        <w:jc w:val="center"/>
        <w:rPr>
          <w:rFonts w:ascii="Arial" w:hAnsi="Arial" w:cs="Arial"/>
          <w:b/>
          <w:sz w:val="24"/>
          <w:szCs w:val="24"/>
        </w:rPr>
      </w:pPr>
      <w:r w:rsidRPr="00307509">
        <w:rPr>
          <w:rFonts w:ascii="Arial" w:hAnsi="Arial" w:cs="Arial"/>
          <w:b/>
          <w:sz w:val="24"/>
          <w:szCs w:val="24"/>
        </w:rPr>
        <w:lastRenderedPageBreak/>
        <w:t>Uzasadnienie</w:t>
      </w:r>
    </w:p>
    <w:p w:rsidR="000807BB" w:rsidRPr="005E5B82" w:rsidRDefault="000807BB" w:rsidP="000807BB">
      <w:pPr>
        <w:pStyle w:val="Bezodstpw"/>
        <w:jc w:val="both"/>
        <w:rPr>
          <w:rFonts w:ascii="Arial" w:hAnsi="Arial" w:cs="Arial"/>
          <w:sz w:val="24"/>
          <w:szCs w:val="24"/>
        </w:rPr>
      </w:pPr>
      <w:r w:rsidRPr="005E5B82">
        <w:rPr>
          <w:rFonts w:ascii="Arial" w:hAnsi="Arial" w:cs="Arial"/>
          <w:sz w:val="24"/>
          <w:szCs w:val="24"/>
        </w:rPr>
        <w:t xml:space="preserve">Gmina Stalowa Wola na podstawie umowy nr ITP-III.272.06.2017.KS z dnia 22 maja 2017 r. zawartej na realizacje zadania pn.: „Budowa łącznika drogowego wraz z przebudową grogi gminnej ul. Solidarności” przekazała Generalnemu Wykonawcy robót INTOP Tarnobrzeg Sp. z o. o. środki finansowe w wysokości 1.206.124,50 zł, które winny być przekazane Podwykonawcy przy budowie łącznika między ul. Solidarności a Energetyków objętych umową z dnia 27.11.2017 r. to jest </w:t>
      </w:r>
      <w:proofErr w:type="spellStart"/>
      <w:r w:rsidRPr="005E5B82">
        <w:rPr>
          <w:rFonts w:ascii="Arial" w:hAnsi="Arial" w:cs="Arial"/>
          <w:sz w:val="24"/>
          <w:szCs w:val="24"/>
        </w:rPr>
        <w:t>Stump</w:t>
      </w:r>
      <w:proofErr w:type="spellEnd"/>
      <w:r w:rsidRPr="005E5B82">
        <w:rPr>
          <w:rFonts w:ascii="Arial" w:hAnsi="Arial" w:cs="Arial"/>
          <w:sz w:val="24"/>
          <w:szCs w:val="24"/>
        </w:rPr>
        <w:t xml:space="preserve"> – Hydrobudowa Sp. z o.o., ul. </w:t>
      </w:r>
      <w:proofErr w:type="spellStart"/>
      <w:r w:rsidRPr="005E5B82">
        <w:rPr>
          <w:rFonts w:ascii="Arial" w:hAnsi="Arial" w:cs="Arial"/>
          <w:sz w:val="24"/>
          <w:szCs w:val="24"/>
        </w:rPr>
        <w:t>Hołubcowa</w:t>
      </w:r>
      <w:proofErr w:type="spellEnd"/>
      <w:r w:rsidRPr="005E5B82">
        <w:rPr>
          <w:rFonts w:ascii="Arial" w:hAnsi="Arial" w:cs="Arial"/>
          <w:sz w:val="24"/>
          <w:szCs w:val="24"/>
        </w:rPr>
        <w:t xml:space="preserve"> 123, 02-854 Warszawa. Środki te nie dotarły do Podwykonawcy, dlatego też Gmina Stalowa Wola z tytułu solidarnej odpowiedzialności zapłaciła należne Podwykonawcy robót wynagrodzenie i wezwała Gen. Wykonawcę do zwrotu otrzymanych środków w terminie do 20.12.2018 r. Generalny Wykonawca pismem z dnia 17.01.2019 r. zobowiązał się do spłaty otrzymanych środków w sześciu miesięcznych ratach. Pierwsza rata w wysokości 206.124,50 zł wpłynęła na konto Gminy Stalowa Wola w dniu 25.01.2019 r. Pozostała do spłaty kwota należności będzie rozłożona na 4 równe raty na podstawie Porozumienia, po uprzedniej zgodzie Rady Miejskiej w Stalowej Woli. </w:t>
      </w:r>
    </w:p>
    <w:p w:rsidR="000807BB" w:rsidRDefault="000807BB" w:rsidP="000807BB">
      <w:pPr>
        <w:pStyle w:val="Bezodstpw"/>
        <w:jc w:val="both"/>
        <w:rPr>
          <w:rFonts w:ascii="Arial" w:hAnsi="Arial" w:cs="Arial"/>
          <w:sz w:val="24"/>
          <w:szCs w:val="24"/>
        </w:rPr>
      </w:pPr>
      <w:r>
        <w:rPr>
          <w:rFonts w:ascii="Arial" w:hAnsi="Arial" w:cs="Arial"/>
          <w:sz w:val="24"/>
          <w:szCs w:val="24"/>
        </w:rPr>
        <w:t>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upoważniony jest Prezydent Miasta po uzyskaniu zgody Rady Miejskiej jeżeli kwota należności przekracza 15.000,00 zł.</w:t>
      </w:r>
    </w:p>
    <w:p w:rsidR="000807BB" w:rsidRPr="005E5B82" w:rsidRDefault="000807BB" w:rsidP="000807BB">
      <w:pPr>
        <w:pStyle w:val="Bezodstpw"/>
        <w:jc w:val="both"/>
        <w:rPr>
          <w:rFonts w:ascii="Arial" w:hAnsi="Arial" w:cs="Arial"/>
          <w:sz w:val="24"/>
          <w:szCs w:val="24"/>
        </w:rPr>
      </w:pPr>
      <w:r>
        <w:rPr>
          <w:rFonts w:ascii="Arial" w:hAnsi="Arial" w:cs="Arial"/>
          <w:sz w:val="24"/>
          <w:szCs w:val="24"/>
        </w:rPr>
        <w:t xml:space="preserve">Mając powyższe na uwadze spełnione są wymagania podjęcia niniejszej uchwały.  </w:t>
      </w: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0807BB" w:rsidRDefault="000807BB" w:rsidP="000807BB">
      <w:pPr>
        <w:jc w:val="both"/>
        <w:rPr>
          <w:rFonts w:ascii="Arial" w:hAnsi="Arial" w:cs="Arial"/>
          <w:sz w:val="24"/>
          <w:szCs w:val="24"/>
        </w:rPr>
      </w:pPr>
    </w:p>
    <w:p w:rsidR="00E51130" w:rsidRDefault="00E51130" w:rsidP="000807BB">
      <w:pPr>
        <w:pStyle w:val="Bezodstpw"/>
      </w:pPr>
      <w:bookmarkStart w:id="0" w:name="_GoBack"/>
      <w:bookmarkEnd w:id="0"/>
    </w:p>
    <w:sectPr w:rsidR="00E5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107"/>
    <w:multiLevelType w:val="hybridMultilevel"/>
    <w:tmpl w:val="E046A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BB"/>
    <w:rsid w:val="000807BB"/>
    <w:rsid w:val="00E51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19A84-743A-49A7-8A75-34031D87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7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80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2798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Starzomczyk</dc:creator>
  <cp:keywords/>
  <dc:description/>
  <cp:lastModifiedBy>Katarzyna Starzomczyk</cp:lastModifiedBy>
  <cp:revision>1</cp:revision>
  <dcterms:created xsi:type="dcterms:W3CDTF">2019-02-20T12:20:00Z</dcterms:created>
  <dcterms:modified xsi:type="dcterms:W3CDTF">2019-02-20T12:20:00Z</dcterms:modified>
</cp:coreProperties>
</file>