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>
      <w:pPr>
        <w:spacing w:before="0" w:after="0"/>
        <w:ind w:left="5669" w:right="0"/>
        <w:jc w:val="left"/>
      </w:pPr>
    </w:p>
    <w:p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2024 r.</w:t>
      </w:r>
    </w:p>
    <w:p>
      <w:pPr>
        <w:keepNext/>
        <w:spacing w:before="0" w:after="480" w:line="24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zmieniająca uchwałę w sprawie określenia przystanków komunikacyjnych, których właścicielem lub zarządzającym jest Gmina Stalowa Wola, udostępnionych dla operatorów i  przewoźników oraz warunków i zasad korzystania z tych obiektów</w:t>
      </w:r>
    </w:p>
    <w:p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 18 ust. 1 i ust. 2 pkt. 15, art. 40 ust. 1 i ust. 2 pkt. 4 ustawy z dnia 8 marca 1990 r. o samorządzie gminnym (tekst jedn. Dz. U. z 2024 r., poz. 609 ze zm.) oraz art. 15 ust. 1 pkt 6 i ust. 2 ustawy z dnia 16 grudnia 2010 r. o publicznym transporcie zbiorowym (tekst jedn. Dz. U. z 2023 r., poz. 2778) oraz art. 4 ust. 1 i art. 5 ustawy z dnia 20 lipca 2000 r. o oglaszaniu aktów normatywnych i niektórych innych aktów prawnych (Dz.U. z 2019 r. poz. 1461)</w:t>
      </w:r>
    </w:p>
    <w:p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 się, co następuje: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</w:p>
    <w:p>
      <w:pPr>
        <w:keepNext w:val="0"/>
        <w:keepLines/>
        <w:spacing w:before="120" w:after="24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Uchwale Nr LXXVI/1027/2024 Rady Miejskiej w Stalowej Woli z dnia 7 marca 2024 r. w sprawie określenia przystanków komunikacyjnych, których właścicielem lub zarządzającym jest Gmina Stalowa Wola, udostępnionych dla operatorów i przewoźników oraz warunków i zasad korzystania z tych obiektów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(Dz. Urz. Woj. Podkarpackiego z 2024 r. poz. 1549) wprowadza się następujące zmiany: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§1 po ust. 4 dodaje się ust. 5 w brzmieniu:</w:t>
      </w:r>
    </w:p>
    <w:p>
      <w:pPr>
        <w:keepNext w:val="0"/>
        <w:keepLines/>
        <w:spacing w:before="120" w:after="240" w:line="240" w:lineRule="auto"/>
        <w:ind w:left="453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4"/>
        </w:rPr>
        <w:t>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Przystanki, o których mowa w ust. 4 udostępnia się przewoźnikom także w sytuacji gdy zmiana lub wygaśnięcie zezwolenia na wykonywanie regularnych przewozów osób w krajowym transporcie drogowym wynika z konieczności dostosowania się przewoźnika do wprowadzanych przez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Gminę Stalowa Wola zmian dotyczących organizacji ruchu na terenie gminy (w szczególności remontów), zmian wynikających ze zniesienia stanu zagrożenia epidemicznego lub zmian w zakresie dotychczas udostępnianych przystanków.</w:t>
      </w:r>
      <w:r>
        <w:rPr>
          <w:b w:val="0"/>
          <w:i w:val="0"/>
          <w:u w:val="none"/>
        </w:rPr>
        <w:t>”</w:t>
      </w:r>
      <w:r>
        <w:t>;</w:t>
      </w:r>
    </w:p>
    <w:p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sz w:val="24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Załączniki Nr 1, 2, 3 i 4 do Uchwały przyjmują brzmienie jak Załączniki Nr 1, 2, 3 i 4 do niniejszej Uchwały.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Prezydentowi Miasta Stalowa Wola.</w:t>
      </w:r>
    </w:p>
    <w:p>
      <w:pPr>
        <w:keepNext/>
        <w:spacing w:before="280" w:line="24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3. </w:t>
      </w:r>
    </w:p>
    <w:p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sectPr>
          <w:footerReference w:type="default" r:id="rId4"/>
          <w:endnotePr>
            <w:numFmt w:val="decimal"/>
          </w:endnotePr>
          <w:pgSz w:w="11906" w:h="16838"/>
          <w:pgMar w:top="567" w:right="567" w:bottom="567" w:left="567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 po ogłoszeniu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Dzienniku Urzędowym Województwa Podkarpackiego,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 tym że §1 ust. 5 – z mocą od dnia 01 września 2024 r.</w:t>
      </w:r>
    </w:p>
    <w:p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567" w:right="567" w:bottom="567" w:left="56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end"/>
      </w:r>
      <w:r>
        <w:t>Załącznik Nr 1 do uchwały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t>Rady Miejskiej w Stalowej Woli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sz w:val="24"/>
        </w:rPr>
        <w:t>z dnia .................... 2024 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hyperlink r:id="rId6" w:history="1">
        <w:r>
          <w:rPr>
            <w:rStyle w:val="Hyperlink"/>
            <w:rFonts w:ascii="Times New Roman" w:eastAsia="Times New Roman" w:hAnsi="Times New Roman" w:cs="Times New Roman"/>
            <w:b w:val="0"/>
            <w:caps w:val="0"/>
            <w:strike w:val="0"/>
            <w:color w:val="auto"/>
            <w:sz w:val="24"/>
            <w:u w:val="none"/>
          </w:rPr>
          <w:t>Zalacznik1.pdf</w:t>
        </w:r>
      </w:hyperlink>
    </w:p>
    <w:p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567" w:right="567" w:bottom="567" w:left="56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end"/>
      </w:r>
      <w:r>
        <w:t>Załącznik Nr 2 do uchwały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t>Rady Miejskiej w Stalowej Woli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sz w:val="24"/>
        </w:rPr>
        <w:t>z dnia .................... 2024 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hyperlink r:id="rId8" w:history="1">
        <w:r>
          <w:rPr>
            <w:rStyle w:val="Hyperlink"/>
            <w:rFonts w:ascii="Times New Roman" w:eastAsia="Times New Roman" w:hAnsi="Times New Roman" w:cs="Times New Roman"/>
            <w:b w:val="0"/>
            <w:caps w:val="0"/>
            <w:strike w:val="0"/>
            <w:color w:val="auto"/>
            <w:sz w:val="24"/>
            <w:u w:val="none"/>
          </w:rPr>
          <w:t>Zalacznik2.pdf</w:t>
        </w:r>
      </w:hyperlink>
    </w:p>
    <w:p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sectPr>
          <w:footerReference w:type="default" r:id="rId9"/>
          <w:endnotePr>
            <w:numFmt w:val="decimal"/>
          </w:endnotePr>
          <w:type w:val="nextPage"/>
          <w:pgSz w:w="11906" w:h="16838"/>
          <w:pgMar w:top="567" w:right="567" w:bottom="567" w:left="56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end"/>
      </w:r>
      <w:r>
        <w:t>Załącznik Nr 3 do uchwały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t>Rady Miejskiej w Stalowej Woli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sz w:val="24"/>
        </w:rPr>
        <w:t>z dnia .................... 2024 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hyperlink r:id="rId10" w:history="1">
        <w:r>
          <w:rPr>
            <w:rStyle w:val="Hyperlink"/>
            <w:rFonts w:ascii="Times New Roman" w:eastAsia="Times New Roman" w:hAnsi="Times New Roman" w:cs="Times New Roman"/>
            <w:b w:val="0"/>
            <w:caps w:val="0"/>
            <w:strike w:val="0"/>
            <w:color w:val="auto"/>
            <w:sz w:val="24"/>
            <w:u w:val="none"/>
          </w:rPr>
          <w:t>Zalacznik3.pdf</w:t>
        </w:r>
      </w:hyperlink>
    </w:p>
    <w:p>
      <w:pPr>
        <w:keepNext w:val="0"/>
        <w:keepLines/>
        <w:spacing w:before="280" w:after="280" w:line="360" w:lineRule="auto"/>
        <w:ind w:left="4535" w:right="0" w:firstLine="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sectPr>
          <w:footerReference w:type="default" r:id="rId11"/>
          <w:endnotePr>
            <w:numFmt w:val="decimal"/>
          </w:endnotePr>
          <w:type w:val="nextPage"/>
          <w:pgSz w:w="11906" w:h="16838"/>
          <w:pgMar w:top="567" w:right="567" w:bottom="567" w:left="567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fldChar w:fldCharType="end"/>
      </w:r>
      <w:r>
        <w:t>Załącznik Nr 4 do uchwały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 xml:space="preserve"> Nr 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....................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t>Rady Miejskiej w Stalowej Woli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sz w:val="24"/>
        </w:rPr>
        <w:t>z dnia .................... 2024 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hyperlink r:id="rId12" w:history="1">
        <w:r>
          <w:rPr>
            <w:rStyle w:val="Hyperlink"/>
            <w:rFonts w:ascii="Times New Roman" w:eastAsia="Times New Roman" w:hAnsi="Times New Roman" w:cs="Times New Roman"/>
            <w:b w:val="0"/>
            <w:caps w:val="0"/>
            <w:strike w:val="0"/>
            <w:color w:val="auto"/>
            <w:sz w:val="24"/>
            <w:u w:val="none"/>
          </w:rPr>
          <w:t>Zalacznik4.pdf</w:t>
        </w:r>
      </w:hyperlink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b/>
          <w:szCs w:val="20"/>
          <w:lang w:val="x-none" w:eastAsia="en-US" w:bidi="ar-SA"/>
        </w:rPr>
      </w:pPr>
      <w:r>
        <w:rPr>
          <w:b/>
          <w:szCs w:val="20"/>
          <w:lang w:val="x-none" w:eastAsia="en-US" w:bidi="ar-SA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  <w:lang w:val="x-none" w:eastAsia="en-US" w:bidi="ar-SA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346"/>
        <w:contextualSpacing w:val="0"/>
        <w:jc w:val="both"/>
        <w:rPr>
          <w:szCs w:val="20"/>
        </w:rPr>
      </w:pPr>
      <w:r>
        <w:rPr>
          <w:szCs w:val="20"/>
        </w:rPr>
        <w:t>Projekt niniejszej Uchwały wprowadza zmiany w Uchwale Nr LXXVI/1027/2024 Rady Miejskiej w Stalowej Woli z dnia 7 marca 2024 r. w sprawie określenia przystanków komunikacyjnych, których właścicielem lub zarządzającym jest Gmina Stalowa Wola, udostępnionych dla operatorów i przewoźników oraz warunków i zasad korzystania z tych obiektów.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b/>
          <w:szCs w:val="20"/>
        </w:rPr>
      </w:pPr>
      <w:r>
        <w:rPr>
          <w:b/>
          <w:szCs w:val="20"/>
        </w:rPr>
        <w:t>I. Przywrócenie zapisów Uchwały Nr LXXI/937/2023 Rady Miejskiej w Stalowej Woli z dnia 29 września 2023 r.: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szCs w:val="20"/>
        </w:rPr>
      </w:pPr>
      <w:r>
        <w:rPr>
          <w:szCs w:val="20"/>
        </w:rPr>
        <w:t xml:space="preserve">Przywrócony zapisy znajduje się w </w:t>
      </w:r>
      <w:r>
        <w:rPr>
          <w:b/>
          <w:szCs w:val="20"/>
        </w:rPr>
        <w:t xml:space="preserve">§1 ust. 5 </w:t>
      </w:r>
      <w:r>
        <w:rPr>
          <w:szCs w:val="20"/>
        </w:rPr>
        <w:t>projektu Uchwały</w:t>
      </w:r>
      <w:r>
        <w:rPr>
          <w:b/>
          <w:szCs w:val="20"/>
        </w:rPr>
        <w:t xml:space="preserve">. </w:t>
      </w:r>
      <w:r>
        <w:rPr>
          <w:szCs w:val="20"/>
        </w:rPr>
        <w:t>Stanowi on przywrócenie zapisu Uchwały</w:t>
        <w:br/>
        <w:t>Nr LXXI/937/2023 Rady Miejskiej w Stalowej Woli z dnia 29 września 2023 r. i d</w:t>
      </w:r>
      <w:r>
        <w:rPr>
          <w:szCs w:val="20"/>
        </w:rPr>
        <w:t>otyczy przewoźników, którzy otrzymali prawo do korzystania z przystanków udostępnionych operatorom przed wejściem w życie Uchwały Nr LXIII/912/14 Rady Miejskiej w Stalowej Woli z dnia 10 czerwca 2014 r., która po raz pierwszy wprowadziła podział przystanków. Przy obecnych zapisach przewoźnicy zachowywali to prawo do czasu wygaśnięcia lub zmiany wydanych zezwoleń.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szCs w:val="20"/>
        </w:rPr>
      </w:pPr>
      <w:r>
        <w:rPr>
          <w:szCs w:val="20"/>
        </w:rPr>
        <w:t xml:space="preserve">Wprowadzana zmiana przywraca zasadę, zgodnie z którą przewoźnik zachowuje prawa do przystanków nawet przy zmianie zezwolenia,  o ile taka zmiana nie wynika z własnego wyboru przewoźnika, ale z konieczności dostosowania się przez niego do niektórych działań Gminy Stalowa Wola. Do takich działań Gminy zaliczono: remonty ulic, zmiany w zakresach udostępnianych przewoźnikom przystanków oraz </w:t>
      </w:r>
      <w:r>
        <w:rPr>
          <w:szCs w:val="20"/>
        </w:rPr>
        <w:t>zmiany wynikające ze zniesienia stanu zagrożenia epidemicznego.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szCs w:val="20"/>
        </w:rPr>
      </w:pPr>
      <w:r>
        <w:rPr>
          <w:szCs w:val="20"/>
        </w:rPr>
        <w:t>W przypadku zmian wynikających</w:t>
      </w:r>
      <w:r>
        <w:rPr>
          <w:b/>
          <w:szCs w:val="20"/>
        </w:rPr>
        <w:t xml:space="preserve"> </w:t>
      </w:r>
      <w:r>
        <w:rPr>
          <w:szCs w:val="20"/>
        </w:rPr>
        <w:t xml:space="preserve">ze zniesienia stanu zagrożenia epidemicznego chodzi o sytuacje gdy </w:t>
      </w:r>
      <w:r>
        <w:rPr>
          <w:szCs w:val="20"/>
        </w:rPr>
        <w:t>przewoźnicy mogli w trakcie pandemii ograniczać liczbę wykonywanych kursów (</w:t>
      </w:r>
      <w:r>
        <w:rPr>
          <w:szCs w:val="20"/>
        </w:rPr>
        <w:t>w ramach dotychczasowych zezwoleń</w:t>
      </w:r>
      <w:r>
        <w:rPr>
          <w:szCs w:val="20"/>
        </w:rPr>
        <w:t xml:space="preserve">), natomiast po zniesieniu stanu zagrożenia epidemicznego powinni powrócić do wykonywania rozkładu jazdy sprzed pandemii. </w:t>
      </w:r>
      <w:r>
        <w:rPr>
          <w:szCs w:val="20"/>
        </w:rPr>
        <w:t>Jednak ze względu na utrzymujące się po pandemii niższe zapotrzebowanie na przewozy, powrót do poprzednich rozkładów jazdy jest dla przewoźników nieopłacalny.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szCs w:val="20"/>
        </w:rPr>
      </w:pPr>
      <w:r>
        <w:rPr>
          <w:szCs w:val="20"/>
        </w:rPr>
        <w:t xml:space="preserve">W tej sytuacji, przewoźnicy chcący nadal utrzymać niższą liczbę kursów powinni dokonać procedury zmiany zezwoleń, jednakże </w:t>
      </w:r>
      <w:r>
        <w:rPr>
          <w:szCs w:val="20"/>
        </w:rPr>
        <w:t>przy obecnych zapisach Uchwały jakakolwiek zmiana zezwolenia na wykonywanie przewozów oznaczałaby utratę prawa do korzystania z przystanków uzyskanego przed wejściem w życie w/w Uchwały Nr LXIII/912/14  o podziale przystanków.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szCs w:val="20"/>
        </w:rPr>
      </w:pPr>
      <w:r>
        <w:rPr>
          <w:szCs w:val="20"/>
        </w:rPr>
        <w:t xml:space="preserve">Wprowadzenie </w:t>
      </w:r>
      <w:r>
        <w:rPr>
          <w:szCs w:val="20"/>
        </w:rPr>
        <w:t>proponowanego zapisu Uchwały pozwoli przewoźnikom na dokonanie zmiany zezwoleń, przy utrzymaniu dotychczasowej sieci przystanków. Tym samym nie zostaną naruszone zwyczaje komunikacyjne pasażerów - mieszkańców miasta.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szCs w:val="20"/>
        </w:rPr>
      </w:pPr>
      <w:r>
        <w:rPr>
          <w:szCs w:val="20"/>
        </w:rPr>
        <w:t xml:space="preserve">Ze względu na zgłaszane potrzeby przewoźników, długość okresu koniecznego na uprawomocnienie się niniejszej Uchwały oraz czas trwania procedur zmian zezwoleń przez przewoźników, zapisy </w:t>
      </w:r>
      <w:r>
        <w:rPr>
          <w:b/>
          <w:szCs w:val="20"/>
        </w:rPr>
        <w:t>§1 ust. 5</w:t>
      </w:r>
      <w:r>
        <w:rPr>
          <w:szCs w:val="20"/>
        </w:rPr>
        <w:t xml:space="preserve"> </w:t>
      </w:r>
      <w:r>
        <w:rPr>
          <w:b/>
          <w:szCs w:val="20"/>
        </w:rPr>
        <w:t>wprowadza się z mocą od dnia 01 września 2024 r.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b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b/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b/>
          <w:szCs w:val="20"/>
        </w:rPr>
      </w:pPr>
      <w:r>
        <w:rPr>
          <w:b/>
          <w:szCs w:val="20"/>
        </w:rPr>
        <w:t>II. Nowe przystanki komunikacji miejskiej na Al. Jana Pawła II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W ramach projektu niniejszej uchwały wprowadzono dwa nowe przystanki do Załącznika nr 3,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color w:val="F00000"/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zawierającego przystanki udostępniane operatorom</w:t>
      </w:r>
      <w:r>
        <w:rPr>
          <w:szCs w:val="20"/>
        </w:rPr>
        <w:t xml:space="preserve"> przy Al. Jana Pawła II</w:t>
      </w:r>
      <w:r>
        <w:rPr>
          <w:szCs w:val="20"/>
          <w:lang w:val="x-none" w:eastAsia="en-US" w:bidi="ar-SA"/>
        </w:rPr>
        <w:t>.</w:t>
      </w:r>
      <w:r>
        <w:rPr>
          <w:color w:val="F00000"/>
          <w:szCs w:val="20"/>
        </w:rPr>
        <w:t xml:space="preserve"> </w:t>
      </w:r>
      <w:r>
        <w:rPr>
          <w:szCs w:val="20"/>
        </w:rPr>
        <w:t xml:space="preserve">Przystanki zostaną uruchomione po zakończeniu planowanych prac w zakresie utworzenia zatok w ciagu w/w ulicy: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i/>
          <w:szCs w:val="20"/>
          <w:lang w:val="x-none" w:eastAsia="en-US" w:bidi="ar-SA"/>
        </w:rPr>
      </w:pPr>
      <w:r>
        <w:rPr>
          <w:i/>
          <w:szCs w:val="20"/>
        </w:rPr>
        <w:t xml:space="preserve">- poz. 8: </w:t>
      </w:r>
      <w:r>
        <w:rPr>
          <w:i/>
          <w:szCs w:val="20"/>
          <w:lang w:val="x-none" w:eastAsia="en-US" w:bidi="ar-SA"/>
        </w:rPr>
        <w:t>Al. Jana Pawła II - Bazylika 09 (kierunek: Os. Rozwadów) - okolice budynku mBanku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i/>
          <w:szCs w:val="20"/>
          <w:lang w:val="x-none" w:eastAsia="en-US" w:bidi="ar-SA"/>
        </w:rPr>
      </w:pPr>
      <w:r>
        <w:rPr>
          <w:i/>
          <w:szCs w:val="20"/>
        </w:rPr>
        <w:t xml:space="preserve">- poz. 13: </w:t>
      </w:r>
      <w:r>
        <w:rPr>
          <w:i/>
          <w:szCs w:val="20"/>
          <w:lang w:val="x-none" w:eastAsia="en-US" w:bidi="ar-SA"/>
        </w:rPr>
        <w:t>Al. Jana Pawła II - Osiedle Centralne 10 (kierunek: Nisko) - naprzeciw marketu Stokrotka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Załączniki Nr 1 i 2 (dotyczące przewozów regularnych i regularnych specjalnych wykonywanych przez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360" w:lineRule="auto"/>
        <w:ind w:left="0" w:right="0" w:firstLine="0"/>
        <w:contextualSpacing w:val="0"/>
        <w:jc w:val="both"/>
        <w:rPr>
          <w:szCs w:val="20"/>
          <w:lang w:val="x-none" w:eastAsia="en-US" w:bidi="ar-SA"/>
        </w:rPr>
      </w:pPr>
      <w:r>
        <w:rPr>
          <w:szCs w:val="20"/>
          <w:lang w:val="x-none" w:eastAsia="en-US" w:bidi="ar-SA"/>
        </w:rPr>
        <w:t>operatorów i przewoźników) oraz Załącznik Nr 4 (zasady korzystania z przystanków) pozostają bez zmian.</w:t>
      </w:r>
    </w:p>
    <w:sectPr>
      <w:footerReference w:type="default" r:id="rId13"/>
      <w:type w:val="nextPage"/>
      <w:pgSz w:w="11906" w:h="16838" w:code="0"/>
      <w:pgMar w:top="567" w:right="567" w:bottom="567" w:left="56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181"/>
      <w:gridCol w:w="3591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18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896A3962-9C75-406B-947D-2C2777228469. Projekt</w:t>
          </w:r>
        </w:p>
      </w:tc>
      <w:tc>
        <w:tcPr>
          <w:tcW w:w="359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181"/>
      <w:gridCol w:w="3591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18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896A3962-9C75-406B-947D-2C2777228469. Projekt</w:t>
          </w:r>
        </w:p>
      </w:tc>
      <w:tc>
        <w:tcPr>
          <w:tcW w:w="359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181"/>
      <w:gridCol w:w="3591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18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896A3962-9C75-406B-947D-2C2777228469. Projekt</w:t>
          </w:r>
        </w:p>
      </w:tc>
      <w:tc>
        <w:tcPr>
          <w:tcW w:w="359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181"/>
      <w:gridCol w:w="3591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18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896A3962-9C75-406B-947D-2C2777228469. Projekt</w:t>
          </w:r>
        </w:p>
      </w:tc>
      <w:tc>
        <w:tcPr>
          <w:tcW w:w="359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181"/>
      <w:gridCol w:w="3591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18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896A3962-9C75-406B-947D-2C2777228469. Projekt</w:t>
          </w:r>
        </w:p>
      </w:tc>
      <w:tc>
        <w:tcPr>
          <w:tcW w:w="359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181"/>
      <w:gridCol w:w="3591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718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896A3962-9C75-406B-947D-2C2777228469. Projekt</w:t>
          </w:r>
        </w:p>
      </w:tc>
      <w:tc>
        <w:tcPr>
          <w:tcW w:w="3591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Zalacznik3.pdf" TargetMode="External" /><Relationship Id="rId11" Type="http://schemas.openxmlformats.org/officeDocument/2006/relationships/footer" Target="footer5.xml" /><Relationship Id="rId12" Type="http://schemas.openxmlformats.org/officeDocument/2006/relationships/hyperlink" Target="Zalacznik4.pdf" TargetMode="External" /><Relationship Id="rId13" Type="http://schemas.openxmlformats.org/officeDocument/2006/relationships/footer" Target="footer6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hyperlink" Target="Zalacznik1.pdf" TargetMode="External" /><Relationship Id="rId7" Type="http://schemas.openxmlformats.org/officeDocument/2006/relationships/footer" Target="footer3.xml" /><Relationship Id="rId8" Type="http://schemas.openxmlformats.org/officeDocument/2006/relationships/hyperlink" Target="Zalacznik2.pdf" TargetMode="External" /><Relationship Id="rId9" Type="http://schemas.openxmlformats.org/officeDocument/2006/relationships/footer" Target="footer4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 sprawie określenia przystanków komunikacyjnych, których właścicielem lub zarządzającym jest Gmina Stalowa Wola, udostępnionych dla operatorów i^ przewoźników oraz warunków i zasad korzystania z^tych obiektów</dc:subject>
  <dc:creator>pkuznar</dc:creator>
  <cp:lastModifiedBy>pkuznar</cp:lastModifiedBy>
  <cp:revision>1</cp:revision>
  <dcterms:created xsi:type="dcterms:W3CDTF">2024-09-10T14:13:46Z</dcterms:created>
  <dcterms:modified xsi:type="dcterms:W3CDTF">2024-09-10T14:13:46Z</dcterms:modified>
  <cp:category>Akt prawny</cp:category>
</cp:coreProperties>
</file>